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E5FCF" w14:paraId="00C17983" w14:textId="77777777">
        <w:tblPrEx>
          <w:tblCellMar>
            <w:top w:w="0" w:type="dxa"/>
            <w:bottom w:w="0" w:type="dxa"/>
          </w:tblCellMar>
        </w:tblPrEx>
        <w:trPr>
          <w:tblCellSpacing w:w="60" w:type="dxa"/>
        </w:trPr>
        <w:tc>
          <w:tcPr>
            <w:tcW w:w="1200" w:type="pct"/>
            <w:shd w:val="clear" w:color="auto" w:fill="E7F0F9"/>
          </w:tcPr>
          <w:p w14:paraId="113202EB" w14:textId="77777777" w:rsidR="003E5FCF" w:rsidRDefault="00000000">
            <w:pPr>
              <w:spacing w:after="0" w:line="240" w:lineRule="auto"/>
            </w:pPr>
            <w:r>
              <w:rPr>
                <w:b/>
              </w:rPr>
              <w:t>RKP broj</w:t>
            </w:r>
          </w:p>
        </w:tc>
        <w:tc>
          <w:tcPr>
            <w:tcW w:w="0" w:type="auto"/>
            <w:shd w:val="clear" w:color="auto" w:fill="E7F0F9"/>
          </w:tcPr>
          <w:p w14:paraId="46A69C28" w14:textId="77777777" w:rsidR="003E5FCF" w:rsidRDefault="00000000">
            <w:pPr>
              <w:spacing w:after="0" w:line="240" w:lineRule="auto"/>
            </w:pPr>
            <w:r>
              <w:t>27556</w:t>
            </w:r>
          </w:p>
        </w:tc>
      </w:tr>
      <w:tr w:rsidR="003E5FCF" w14:paraId="3972A78F" w14:textId="77777777">
        <w:tblPrEx>
          <w:tblCellMar>
            <w:top w:w="0" w:type="dxa"/>
            <w:bottom w:w="0" w:type="dxa"/>
          </w:tblCellMar>
        </w:tblPrEx>
        <w:trPr>
          <w:tblCellSpacing w:w="60" w:type="dxa"/>
        </w:trPr>
        <w:tc>
          <w:tcPr>
            <w:tcW w:w="1200" w:type="pct"/>
            <w:shd w:val="clear" w:color="auto" w:fill="E7F0F9"/>
          </w:tcPr>
          <w:p w14:paraId="195F34F0" w14:textId="77777777" w:rsidR="003E5FCF" w:rsidRDefault="00000000">
            <w:pPr>
              <w:spacing w:after="0" w:line="240" w:lineRule="auto"/>
            </w:pPr>
            <w:r>
              <w:rPr>
                <w:b/>
              </w:rPr>
              <w:t>Naziv obveznika</w:t>
            </w:r>
          </w:p>
        </w:tc>
        <w:tc>
          <w:tcPr>
            <w:tcW w:w="0" w:type="auto"/>
            <w:shd w:val="clear" w:color="auto" w:fill="E7F0F9"/>
          </w:tcPr>
          <w:p w14:paraId="747EA451" w14:textId="77777777" w:rsidR="003E5FCF" w:rsidRDefault="00000000">
            <w:pPr>
              <w:spacing w:after="0" w:line="240" w:lineRule="auto"/>
            </w:pPr>
            <w:r>
              <w:t>DJEČJI VRTIĆ SLUNJ</w:t>
            </w:r>
          </w:p>
        </w:tc>
      </w:tr>
      <w:tr w:rsidR="003E5FCF" w14:paraId="1C8C053D" w14:textId="77777777">
        <w:tblPrEx>
          <w:tblCellMar>
            <w:top w:w="0" w:type="dxa"/>
            <w:bottom w:w="0" w:type="dxa"/>
          </w:tblCellMar>
        </w:tblPrEx>
        <w:trPr>
          <w:tblCellSpacing w:w="60" w:type="dxa"/>
        </w:trPr>
        <w:tc>
          <w:tcPr>
            <w:tcW w:w="1200" w:type="pct"/>
            <w:shd w:val="clear" w:color="auto" w:fill="E7F0F9"/>
          </w:tcPr>
          <w:p w14:paraId="7E92D902" w14:textId="77777777" w:rsidR="003E5FCF" w:rsidRDefault="00000000">
            <w:pPr>
              <w:spacing w:after="0" w:line="240" w:lineRule="auto"/>
            </w:pPr>
            <w:r>
              <w:rPr>
                <w:b/>
              </w:rPr>
              <w:t>Razina</w:t>
            </w:r>
          </w:p>
        </w:tc>
        <w:tc>
          <w:tcPr>
            <w:tcW w:w="0" w:type="auto"/>
            <w:shd w:val="clear" w:color="auto" w:fill="E7F0F9"/>
          </w:tcPr>
          <w:p w14:paraId="629C2D8A" w14:textId="77777777" w:rsidR="003E5FCF" w:rsidRDefault="00000000">
            <w:pPr>
              <w:spacing w:after="0" w:line="240" w:lineRule="auto"/>
            </w:pPr>
            <w:r>
              <w:t>21</w:t>
            </w:r>
          </w:p>
        </w:tc>
      </w:tr>
    </w:tbl>
    <w:p w14:paraId="42B1C389" w14:textId="77777777" w:rsidR="003E5FCF" w:rsidRDefault="00000000">
      <w:r>
        <w:br/>
      </w:r>
    </w:p>
    <w:p w14:paraId="38A73876" w14:textId="77777777" w:rsidR="003E5FCF" w:rsidRDefault="00000000">
      <w:pPr>
        <w:spacing w:line="240" w:lineRule="auto"/>
        <w:jc w:val="center"/>
      </w:pPr>
      <w:r>
        <w:rPr>
          <w:b/>
          <w:sz w:val="28"/>
        </w:rPr>
        <w:t>BILJEŠKE UZ FINANCIJSKE IZVJEŠTAJE</w:t>
      </w:r>
    </w:p>
    <w:p w14:paraId="022DCA9B" w14:textId="77777777" w:rsidR="003E5FCF" w:rsidRDefault="00000000">
      <w:pPr>
        <w:spacing w:line="240" w:lineRule="auto"/>
        <w:jc w:val="center"/>
      </w:pPr>
      <w:r>
        <w:rPr>
          <w:b/>
          <w:sz w:val="28"/>
        </w:rPr>
        <w:t>ZA RAZDOBLJE</w:t>
      </w:r>
    </w:p>
    <w:p w14:paraId="31C25794" w14:textId="77777777" w:rsidR="003E5FCF" w:rsidRDefault="00000000">
      <w:pPr>
        <w:spacing w:line="240" w:lineRule="auto"/>
        <w:jc w:val="center"/>
      </w:pPr>
      <w:r>
        <w:rPr>
          <w:b/>
          <w:sz w:val="28"/>
        </w:rPr>
        <w:t>I - XII 2025.</w:t>
      </w:r>
    </w:p>
    <w:p w14:paraId="07A6963F" w14:textId="77777777" w:rsidR="003E5FCF" w:rsidRDefault="003E5FCF"/>
    <w:p w14:paraId="1CDEB253" w14:textId="77777777" w:rsidR="003E5FCF" w:rsidRDefault="00000000">
      <w:pPr>
        <w:keepNext/>
        <w:spacing w:line="240" w:lineRule="auto"/>
        <w:jc w:val="center"/>
      </w:pPr>
      <w:r>
        <w:rPr>
          <w:b/>
          <w:sz w:val="28"/>
        </w:rPr>
        <w:t>Izvještaj o prihodima i rashodima, primicima i izdacima</w:t>
      </w:r>
    </w:p>
    <w:p w14:paraId="266BDFEA" w14:textId="77777777" w:rsidR="003E5FCF"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57F3F5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79CB9C"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84CA9B"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5D7937"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003C2C"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11544D"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DBF286" w14:textId="77777777" w:rsidR="003E5FCF" w:rsidRDefault="00000000">
            <w:pPr>
              <w:keepNext/>
              <w:keepLines/>
              <w:spacing w:after="0" w:line="240" w:lineRule="auto"/>
              <w:jc w:val="center"/>
            </w:pPr>
            <w:r>
              <w:rPr>
                <w:b/>
                <w:sz w:val="18"/>
              </w:rPr>
              <w:t>Indeks (%)</w:t>
            </w:r>
          </w:p>
        </w:tc>
      </w:tr>
      <w:tr w:rsidR="003E5FCF" w14:paraId="353B0B5A" w14:textId="77777777">
        <w:tblPrEx>
          <w:tblCellMar>
            <w:top w:w="0" w:type="dxa"/>
            <w:bottom w:w="0" w:type="dxa"/>
          </w:tblCellMar>
        </w:tblPrEx>
        <w:trPr>
          <w:cantSplit/>
          <w:trHeight w:val="560"/>
        </w:trPr>
        <w:tc>
          <w:tcPr>
            <w:tcW w:w="700" w:type="dxa"/>
            <w:tcMar>
              <w:top w:w="0" w:type="dxa"/>
              <w:bottom w:w="0" w:type="dxa"/>
            </w:tcMar>
            <w:vAlign w:val="center"/>
          </w:tcPr>
          <w:p w14:paraId="452745A0" w14:textId="77777777" w:rsidR="003E5FCF" w:rsidRDefault="00000000">
            <w:pPr>
              <w:keepNext/>
              <w:keepLines/>
              <w:spacing w:after="0" w:line="240" w:lineRule="auto"/>
            </w:pPr>
            <w:r>
              <w:rPr>
                <w:sz w:val="18"/>
              </w:rPr>
              <w:t>6</w:t>
            </w:r>
          </w:p>
        </w:tc>
        <w:tc>
          <w:tcPr>
            <w:tcW w:w="3180" w:type="dxa"/>
            <w:tcMar>
              <w:top w:w="0" w:type="dxa"/>
              <w:bottom w:w="0" w:type="dxa"/>
            </w:tcMar>
            <w:vAlign w:val="center"/>
          </w:tcPr>
          <w:p w14:paraId="0EA6EF88" w14:textId="77777777" w:rsidR="003E5FC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53FF72B" w14:textId="77777777" w:rsidR="003E5FCF" w:rsidRDefault="00000000">
            <w:pPr>
              <w:keepNext/>
              <w:keepLines/>
              <w:spacing w:after="0" w:line="240" w:lineRule="auto"/>
            </w:pPr>
            <w:r>
              <w:rPr>
                <w:sz w:val="18"/>
              </w:rPr>
              <w:t>6</w:t>
            </w:r>
          </w:p>
        </w:tc>
        <w:tc>
          <w:tcPr>
            <w:tcW w:w="1860" w:type="dxa"/>
            <w:tcMar>
              <w:top w:w="0" w:type="dxa"/>
              <w:bottom w:w="0" w:type="dxa"/>
            </w:tcMar>
            <w:vAlign w:val="center"/>
          </w:tcPr>
          <w:p w14:paraId="71FA0063" w14:textId="77777777" w:rsidR="003E5FCF" w:rsidRDefault="00000000">
            <w:pPr>
              <w:keepNext/>
              <w:keepLines/>
              <w:spacing w:after="0" w:line="240" w:lineRule="auto"/>
              <w:jc w:val="right"/>
            </w:pPr>
            <w:r>
              <w:rPr>
                <w:sz w:val="18"/>
              </w:rPr>
              <w:t>998.621,04</w:t>
            </w:r>
          </w:p>
        </w:tc>
        <w:tc>
          <w:tcPr>
            <w:tcW w:w="1860" w:type="dxa"/>
            <w:tcMar>
              <w:top w:w="0" w:type="dxa"/>
              <w:bottom w:w="0" w:type="dxa"/>
            </w:tcMar>
            <w:vAlign w:val="center"/>
          </w:tcPr>
          <w:p w14:paraId="1EEDD904" w14:textId="77777777" w:rsidR="003E5FCF" w:rsidRDefault="00000000">
            <w:pPr>
              <w:keepNext/>
              <w:keepLines/>
              <w:spacing w:after="0" w:line="240" w:lineRule="auto"/>
              <w:jc w:val="right"/>
            </w:pPr>
            <w:r>
              <w:rPr>
                <w:sz w:val="18"/>
              </w:rPr>
              <w:t>1.125.118,25</w:t>
            </w:r>
          </w:p>
        </w:tc>
        <w:tc>
          <w:tcPr>
            <w:tcW w:w="700" w:type="dxa"/>
            <w:tcMar>
              <w:top w:w="0" w:type="dxa"/>
              <w:bottom w:w="0" w:type="dxa"/>
            </w:tcMar>
            <w:vAlign w:val="center"/>
          </w:tcPr>
          <w:p w14:paraId="25AB3C75" w14:textId="77777777" w:rsidR="003E5FCF" w:rsidRDefault="00000000">
            <w:pPr>
              <w:keepNext/>
              <w:keepLines/>
              <w:spacing w:after="0" w:line="240" w:lineRule="auto"/>
              <w:jc w:val="right"/>
            </w:pPr>
            <w:r>
              <w:rPr>
                <w:sz w:val="18"/>
              </w:rPr>
              <w:t>112,7</w:t>
            </w:r>
          </w:p>
        </w:tc>
      </w:tr>
      <w:tr w:rsidR="003E5FCF" w14:paraId="431269A1" w14:textId="77777777">
        <w:tblPrEx>
          <w:tblCellMar>
            <w:top w:w="0" w:type="dxa"/>
            <w:bottom w:w="0" w:type="dxa"/>
          </w:tblCellMar>
        </w:tblPrEx>
        <w:trPr>
          <w:cantSplit/>
          <w:trHeight w:val="560"/>
        </w:trPr>
        <w:tc>
          <w:tcPr>
            <w:tcW w:w="700" w:type="dxa"/>
            <w:tcMar>
              <w:top w:w="0" w:type="dxa"/>
              <w:bottom w:w="0" w:type="dxa"/>
            </w:tcMar>
            <w:vAlign w:val="center"/>
          </w:tcPr>
          <w:p w14:paraId="352F5409" w14:textId="77777777" w:rsidR="003E5FCF" w:rsidRDefault="00000000">
            <w:pPr>
              <w:keepNext/>
              <w:keepLines/>
              <w:spacing w:after="0" w:line="240" w:lineRule="auto"/>
            </w:pPr>
            <w:r>
              <w:rPr>
                <w:sz w:val="18"/>
              </w:rPr>
              <w:t>3</w:t>
            </w:r>
          </w:p>
        </w:tc>
        <w:tc>
          <w:tcPr>
            <w:tcW w:w="3180" w:type="dxa"/>
            <w:tcMar>
              <w:top w:w="0" w:type="dxa"/>
              <w:bottom w:w="0" w:type="dxa"/>
            </w:tcMar>
            <w:vAlign w:val="center"/>
          </w:tcPr>
          <w:p w14:paraId="73B7BD06" w14:textId="77777777" w:rsidR="003E5FC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ADB94A0" w14:textId="77777777" w:rsidR="003E5FCF" w:rsidRDefault="00000000">
            <w:pPr>
              <w:keepNext/>
              <w:keepLines/>
              <w:spacing w:after="0" w:line="240" w:lineRule="auto"/>
            </w:pPr>
            <w:r>
              <w:rPr>
                <w:sz w:val="18"/>
              </w:rPr>
              <w:t>3</w:t>
            </w:r>
          </w:p>
        </w:tc>
        <w:tc>
          <w:tcPr>
            <w:tcW w:w="1860" w:type="dxa"/>
            <w:tcMar>
              <w:top w:w="0" w:type="dxa"/>
              <w:bottom w:w="0" w:type="dxa"/>
            </w:tcMar>
            <w:vAlign w:val="center"/>
          </w:tcPr>
          <w:p w14:paraId="04E1AB4D" w14:textId="77777777" w:rsidR="003E5FCF" w:rsidRDefault="00000000">
            <w:pPr>
              <w:keepNext/>
              <w:keepLines/>
              <w:spacing w:after="0" w:line="240" w:lineRule="auto"/>
              <w:jc w:val="right"/>
            </w:pPr>
            <w:r>
              <w:rPr>
                <w:sz w:val="18"/>
              </w:rPr>
              <w:t>1.086.968,18</w:t>
            </w:r>
          </w:p>
        </w:tc>
        <w:tc>
          <w:tcPr>
            <w:tcW w:w="1860" w:type="dxa"/>
            <w:tcMar>
              <w:top w:w="0" w:type="dxa"/>
              <w:bottom w:w="0" w:type="dxa"/>
            </w:tcMar>
            <w:vAlign w:val="center"/>
          </w:tcPr>
          <w:p w14:paraId="60754F1C" w14:textId="77777777" w:rsidR="003E5FCF" w:rsidRDefault="00000000">
            <w:pPr>
              <w:keepNext/>
              <w:keepLines/>
              <w:spacing w:after="0" w:line="240" w:lineRule="auto"/>
              <w:jc w:val="right"/>
            </w:pPr>
            <w:r>
              <w:rPr>
                <w:sz w:val="18"/>
              </w:rPr>
              <w:t>1.236.343,41</w:t>
            </w:r>
          </w:p>
        </w:tc>
        <w:tc>
          <w:tcPr>
            <w:tcW w:w="700" w:type="dxa"/>
            <w:tcMar>
              <w:top w:w="0" w:type="dxa"/>
              <w:bottom w:w="0" w:type="dxa"/>
            </w:tcMar>
            <w:vAlign w:val="center"/>
          </w:tcPr>
          <w:p w14:paraId="0F68D079" w14:textId="77777777" w:rsidR="003E5FCF" w:rsidRDefault="00000000">
            <w:pPr>
              <w:keepNext/>
              <w:keepLines/>
              <w:spacing w:after="0" w:line="240" w:lineRule="auto"/>
              <w:jc w:val="right"/>
            </w:pPr>
            <w:r>
              <w:rPr>
                <w:sz w:val="18"/>
              </w:rPr>
              <w:t>113,7</w:t>
            </w:r>
          </w:p>
        </w:tc>
      </w:tr>
      <w:tr w:rsidR="003E5FCF" w14:paraId="71AD9447" w14:textId="77777777">
        <w:tblPrEx>
          <w:tblCellMar>
            <w:top w:w="0" w:type="dxa"/>
            <w:bottom w:w="0" w:type="dxa"/>
          </w:tblCellMar>
        </w:tblPrEx>
        <w:trPr>
          <w:cantSplit/>
          <w:trHeight w:val="560"/>
        </w:trPr>
        <w:tc>
          <w:tcPr>
            <w:tcW w:w="700" w:type="dxa"/>
            <w:tcMar>
              <w:top w:w="0" w:type="dxa"/>
              <w:bottom w:w="0" w:type="dxa"/>
            </w:tcMar>
            <w:vAlign w:val="center"/>
          </w:tcPr>
          <w:p w14:paraId="346B1DC1" w14:textId="77777777" w:rsidR="003E5FCF" w:rsidRDefault="003E5FCF">
            <w:pPr>
              <w:keepNext/>
              <w:keepLines/>
              <w:spacing w:after="0" w:line="240" w:lineRule="auto"/>
            </w:pPr>
          </w:p>
        </w:tc>
        <w:tc>
          <w:tcPr>
            <w:tcW w:w="3180" w:type="dxa"/>
            <w:tcMar>
              <w:top w:w="0" w:type="dxa"/>
              <w:bottom w:w="0" w:type="dxa"/>
            </w:tcMar>
            <w:vAlign w:val="center"/>
          </w:tcPr>
          <w:p w14:paraId="0C614DE8" w14:textId="77777777" w:rsidR="003E5FCF"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BF67A20" w14:textId="77777777" w:rsidR="003E5FCF" w:rsidRDefault="00000000">
            <w:pPr>
              <w:keepNext/>
              <w:keepLines/>
              <w:spacing w:after="0" w:line="240" w:lineRule="auto"/>
            </w:pPr>
            <w:r>
              <w:rPr>
                <w:b/>
                <w:sz w:val="18"/>
              </w:rPr>
              <w:t>Y001</w:t>
            </w:r>
          </w:p>
        </w:tc>
        <w:tc>
          <w:tcPr>
            <w:tcW w:w="1860" w:type="dxa"/>
            <w:tcMar>
              <w:top w:w="0" w:type="dxa"/>
              <w:bottom w:w="0" w:type="dxa"/>
            </w:tcMar>
            <w:vAlign w:val="center"/>
          </w:tcPr>
          <w:p w14:paraId="09B7E3FC" w14:textId="77777777" w:rsidR="003E5FCF" w:rsidRDefault="00000000">
            <w:pPr>
              <w:keepNext/>
              <w:keepLines/>
              <w:spacing w:after="0" w:line="240" w:lineRule="auto"/>
              <w:jc w:val="right"/>
            </w:pPr>
            <w:r>
              <w:rPr>
                <w:b/>
                <w:sz w:val="18"/>
              </w:rPr>
              <w:t>88.347,14</w:t>
            </w:r>
          </w:p>
        </w:tc>
        <w:tc>
          <w:tcPr>
            <w:tcW w:w="1860" w:type="dxa"/>
            <w:tcMar>
              <w:top w:w="0" w:type="dxa"/>
              <w:bottom w:w="0" w:type="dxa"/>
            </w:tcMar>
            <w:vAlign w:val="center"/>
          </w:tcPr>
          <w:p w14:paraId="6EB20386" w14:textId="77777777" w:rsidR="003E5FCF" w:rsidRDefault="00000000">
            <w:pPr>
              <w:keepNext/>
              <w:keepLines/>
              <w:spacing w:after="0" w:line="240" w:lineRule="auto"/>
              <w:jc w:val="right"/>
            </w:pPr>
            <w:r>
              <w:rPr>
                <w:b/>
                <w:sz w:val="18"/>
              </w:rPr>
              <w:t>111.225,16</w:t>
            </w:r>
          </w:p>
        </w:tc>
        <w:tc>
          <w:tcPr>
            <w:tcW w:w="700" w:type="dxa"/>
            <w:tcMar>
              <w:top w:w="0" w:type="dxa"/>
              <w:bottom w:w="0" w:type="dxa"/>
            </w:tcMar>
            <w:vAlign w:val="center"/>
          </w:tcPr>
          <w:p w14:paraId="3E3E28BC" w14:textId="77777777" w:rsidR="003E5FCF" w:rsidRDefault="00000000">
            <w:pPr>
              <w:keepNext/>
              <w:keepLines/>
              <w:spacing w:after="0" w:line="240" w:lineRule="auto"/>
              <w:jc w:val="right"/>
            </w:pPr>
            <w:r>
              <w:rPr>
                <w:b/>
                <w:sz w:val="18"/>
              </w:rPr>
              <w:t>125,9</w:t>
            </w:r>
          </w:p>
        </w:tc>
      </w:tr>
      <w:tr w:rsidR="003E5FCF" w14:paraId="61D57C53" w14:textId="77777777">
        <w:tblPrEx>
          <w:tblCellMar>
            <w:top w:w="0" w:type="dxa"/>
            <w:bottom w:w="0" w:type="dxa"/>
          </w:tblCellMar>
        </w:tblPrEx>
        <w:trPr>
          <w:cantSplit/>
          <w:trHeight w:val="560"/>
        </w:trPr>
        <w:tc>
          <w:tcPr>
            <w:tcW w:w="700" w:type="dxa"/>
            <w:tcMar>
              <w:top w:w="0" w:type="dxa"/>
              <w:bottom w:w="0" w:type="dxa"/>
            </w:tcMar>
            <w:vAlign w:val="center"/>
          </w:tcPr>
          <w:p w14:paraId="2B1E5BC9" w14:textId="77777777" w:rsidR="003E5FCF" w:rsidRDefault="00000000">
            <w:pPr>
              <w:keepNext/>
              <w:keepLines/>
              <w:spacing w:after="0" w:line="240" w:lineRule="auto"/>
            </w:pPr>
            <w:r>
              <w:rPr>
                <w:sz w:val="18"/>
              </w:rPr>
              <w:t>7</w:t>
            </w:r>
          </w:p>
        </w:tc>
        <w:tc>
          <w:tcPr>
            <w:tcW w:w="3180" w:type="dxa"/>
            <w:tcMar>
              <w:top w:w="0" w:type="dxa"/>
              <w:bottom w:w="0" w:type="dxa"/>
            </w:tcMar>
            <w:vAlign w:val="center"/>
          </w:tcPr>
          <w:p w14:paraId="46B3E863" w14:textId="77777777" w:rsidR="003E5FCF"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EE70AE8" w14:textId="77777777" w:rsidR="003E5FCF" w:rsidRDefault="00000000">
            <w:pPr>
              <w:keepNext/>
              <w:keepLines/>
              <w:spacing w:after="0" w:line="240" w:lineRule="auto"/>
            </w:pPr>
            <w:r>
              <w:rPr>
                <w:sz w:val="18"/>
              </w:rPr>
              <w:t>7</w:t>
            </w:r>
          </w:p>
        </w:tc>
        <w:tc>
          <w:tcPr>
            <w:tcW w:w="1860" w:type="dxa"/>
            <w:tcMar>
              <w:top w:w="0" w:type="dxa"/>
              <w:bottom w:w="0" w:type="dxa"/>
            </w:tcMar>
            <w:vAlign w:val="center"/>
          </w:tcPr>
          <w:p w14:paraId="009A6A89" w14:textId="77777777" w:rsidR="003E5FCF" w:rsidRDefault="00000000">
            <w:pPr>
              <w:keepNext/>
              <w:keepLines/>
              <w:spacing w:after="0" w:line="240" w:lineRule="auto"/>
              <w:jc w:val="right"/>
            </w:pPr>
            <w:r>
              <w:rPr>
                <w:sz w:val="18"/>
              </w:rPr>
              <w:t>0,00</w:t>
            </w:r>
          </w:p>
        </w:tc>
        <w:tc>
          <w:tcPr>
            <w:tcW w:w="1860" w:type="dxa"/>
            <w:tcMar>
              <w:top w:w="0" w:type="dxa"/>
              <w:bottom w:w="0" w:type="dxa"/>
            </w:tcMar>
            <w:vAlign w:val="center"/>
          </w:tcPr>
          <w:p w14:paraId="3EF5ADCF" w14:textId="77777777" w:rsidR="003E5FCF" w:rsidRDefault="00000000">
            <w:pPr>
              <w:keepNext/>
              <w:keepLines/>
              <w:spacing w:after="0" w:line="240" w:lineRule="auto"/>
              <w:jc w:val="right"/>
            </w:pPr>
            <w:r>
              <w:rPr>
                <w:sz w:val="18"/>
              </w:rPr>
              <w:t>0,00</w:t>
            </w:r>
          </w:p>
        </w:tc>
        <w:tc>
          <w:tcPr>
            <w:tcW w:w="700" w:type="dxa"/>
            <w:tcMar>
              <w:top w:w="0" w:type="dxa"/>
              <w:bottom w:w="0" w:type="dxa"/>
            </w:tcMar>
            <w:vAlign w:val="center"/>
          </w:tcPr>
          <w:p w14:paraId="7219C633" w14:textId="77777777" w:rsidR="003E5FCF" w:rsidRDefault="00000000">
            <w:pPr>
              <w:keepNext/>
              <w:keepLines/>
              <w:spacing w:after="0" w:line="240" w:lineRule="auto"/>
              <w:jc w:val="right"/>
            </w:pPr>
            <w:r>
              <w:rPr>
                <w:sz w:val="18"/>
              </w:rPr>
              <w:t>-</w:t>
            </w:r>
          </w:p>
        </w:tc>
      </w:tr>
      <w:tr w:rsidR="003E5FCF" w14:paraId="6DF0D3AE" w14:textId="77777777">
        <w:tblPrEx>
          <w:tblCellMar>
            <w:top w:w="0" w:type="dxa"/>
            <w:bottom w:w="0" w:type="dxa"/>
          </w:tblCellMar>
        </w:tblPrEx>
        <w:trPr>
          <w:cantSplit/>
          <w:trHeight w:val="560"/>
        </w:trPr>
        <w:tc>
          <w:tcPr>
            <w:tcW w:w="700" w:type="dxa"/>
            <w:tcMar>
              <w:top w:w="0" w:type="dxa"/>
              <w:bottom w:w="0" w:type="dxa"/>
            </w:tcMar>
            <w:vAlign w:val="center"/>
          </w:tcPr>
          <w:p w14:paraId="560F6846" w14:textId="77777777" w:rsidR="003E5FCF" w:rsidRDefault="00000000">
            <w:pPr>
              <w:keepNext/>
              <w:keepLines/>
              <w:spacing w:after="0" w:line="240" w:lineRule="auto"/>
            </w:pPr>
            <w:r>
              <w:rPr>
                <w:sz w:val="18"/>
              </w:rPr>
              <w:t>4</w:t>
            </w:r>
          </w:p>
        </w:tc>
        <w:tc>
          <w:tcPr>
            <w:tcW w:w="3180" w:type="dxa"/>
            <w:tcMar>
              <w:top w:w="0" w:type="dxa"/>
              <w:bottom w:w="0" w:type="dxa"/>
            </w:tcMar>
            <w:vAlign w:val="center"/>
          </w:tcPr>
          <w:p w14:paraId="28202364" w14:textId="77777777" w:rsidR="003E5FC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3FA849F" w14:textId="77777777" w:rsidR="003E5FCF" w:rsidRDefault="00000000">
            <w:pPr>
              <w:keepNext/>
              <w:keepLines/>
              <w:spacing w:after="0" w:line="240" w:lineRule="auto"/>
            </w:pPr>
            <w:r>
              <w:rPr>
                <w:sz w:val="18"/>
              </w:rPr>
              <w:t>4</w:t>
            </w:r>
          </w:p>
        </w:tc>
        <w:tc>
          <w:tcPr>
            <w:tcW w:w="1860" w:type="dxa"/>
            <w:tcMar>
              <w:top w:w="0" w:type="dxa"/>
              <w:bottom w:w="0" w:type="dxa"/>
            </w:tcMar>
            <w:vAlign w:val="center"/>
          </w:tcPr>
          <w:p w14:paraId="6CBECB09" w14:textId="77777777" w:rsidR="003E5FCF" w:rsidRDefault="00000000">
            <w:pPr>
              <w:keepNext/>
              <w:keepLines/>
              <w:spacing w:after="0" w:line="240" w:lineRule="auto"/>
              <w:jc w:val="right"/>
            </w:pPr>
            <w:r>
              <w:rPr>
                <w:sz w:val="18"/>
              </w:rPr>
              <w:t>29.687,70</w:t>
            </w:r>
          </w:p>
        </w:tc>
        <w:tc>
          <w:tcPr>
            <w:tcW w:w="1860" w:type="dxa"/>
            <w:tcMar>
              <w:top w:w="0" w:type="dxa"/>
              <w:bottom w:w="0" w:type="dxa"/>
            </w:tcMar>
            <w:vAlign w:val="center"/>
          </w:tcPr>
          <w:p w14:paraId="6E7FFB19" w14:textId="77777777" w:rsidR="003E5FCF" w:rsidRDefault="00000000">
            <w:pPr>
              <w:keepNext/>
              <w:keepLines/>
              <w:spacing w:after="0" w:line="240" w:lineRule="auto"/>
              <w:jc w:val="right"/>
            </w:pPr>
            <w:r>
              <w:rPr>
                <w:sz w:val="18"/>
              </w:rPr>
              <w:t>1.593,22</w:t>
            </w:r>
          </w:p>
        </w:tc>
        <w:tc>
          <w:tcPr>
            <w:tcW w:w="700" w:type="dxa"/>
            <w:tcMar>
              <w:top w:w="0" w:type="dxa"/>
              <w:bottom w:w="0" w:type="dxa"/>
            </w:tcMar>
            <w:vAlign w:val="center"/>
          </w:tcPr>
          <w:p w14:paraId="3ED0DE66" w14:textId="77777777" w:rsidR="003E5FCF" w:rsidRDefault="00000000">
            <w:pPr>
              <w:keepNext/>
              <w:keepLines/>
              <w:spacing w:after="0" w:line="240" w:lineRule="auto"/>
              <w:jc w:val="right"/>
            </w:pPr>
            <w:r>
              <w:rPr>
                <w:sz w:val="18"/>
              </w:rPr>
              <w:t>5,4</w:t>
            </w:r>
          </w:p>
        </w:tc>
      </w:tr>
      <w:tr w:rsidR="003E5FCF" w14:paraId="15CD1DEF" w14:textId="77777777">
        <w:tblPrEx>
          <w:tblCellMar>
            <w:top w:w="0" w:type="dxa"/>
            <w:bottom w:w="0" w:type="dxa"/>
          </w:tblCellMar>
        </w:tblPrEx>
        <w:trPr>
          <w:cantSplit/>
          <w:trHeight w:val="560"/>
        </w:trPr>
        <w:tc>
          <w:tcPr>
            <w:tcW w:w="700" w:type="dxa"/>
            <w:tcMar>
              <w:top w:w="0" w:type="dxa"/>
              <w:bottom w:w="0" w:type="dxa"/>
            </w:tcMar>
            <w:vAlign w:val="center"/>
          </w:tcPr>
          <w:p w14:paraId="4AF5B83D" w14:textId="77777777" w:rsidR="003E5FCF" w:rsidRDefault="003E5FCF">
            <w:pPr>
              <w:keepNext/>
              <w:keepLines/>
              <w:spacing w:after="0" w:line="240" w:lineRule="auto"/>
            </w:pPr>
          </w:p>
        </w:tc>
        <w:tc>
          <w:tcPr>
            <w:tcW w:w="3180" w:type="dxa"/>
            <w:tcMar>
              <w:top w:w="0" w:type="dxa"/>
              <w:bottom w:w="0" w:type="dxa"/>
            </w:tcMar>
            <w:vAlign w:val="center"/>
          </w:tcPr>
          <w:p w14:paraId="4FA9EA14" w14:textId="77777777" w:rsidR="003E5FCF"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485ED03" w14:textId="77777777" w:rsidR="003E5FCF" w:rsidRDefault="00000000">
            <w:pPr>
              <w:keepNext/>
              <w:keepLines/>
              <w:spacing w:after="0" w:line="240" w:lineRule="auto"/>
            </w:pPr>
            <w:r>
              <w:rPr>
                <w:b/>
                <w:sz w:val="18"/>
              </w:rPr>
              <w:t>Y002</w:t>
            </w:r>
          </w:p>
        </w:tc>
        <w:tc>
          <w:tcPr>
            <w:tcW w:w="1860" w:type="dxa"/>
            <w:tcMar>
              <w:top w:w="0" w:type="dxa"/>
              <w:bottom w:w="0" w:type="dxa"/>
            </w:tcMar>
            <w:vAlign w:val="center"/>
          </w:tcPr>
          <w:p w14:paraId="60E26D92" w14:textId="77777777" w:rsidR="003E5FCF" w:rsidRDefault="00000000">
            <w:pPr>
              <w:keepNext/>
              <w:keepLines/>
              <w:spacing w:after="0" w:line="240" w:lineRule="auto"/>
              <w:jc w:val="right"/>
            </w:pPr>
            <w:r>
              <w:rPr>
                <w:b/>
                <w:sz w:val="18"/>
              </w:rPr>
              <w:t>29.687,70</w:t>
            </w:r>
          </w:p>
        </w:tc>
        <w:tc>
          <w:tcPr>
            <w:tcW w:w="1860" w:type="dxa"/>
            <w:tcMar>
              <w:top w:w="0" w:type="dxa"/>
              <w:bottom w:w="0" w:type="dxa"/>
            </w:tcMar>
            <w:vAlign w:val="center"/>
          </w:tcPr>
          <w:p w14:paraId="69925FF0" w14:textId="77777777" w:rsidR="003E5FCF" w:rsidRDefault="00000000">
            <w:pPr>
              <w:keepNext/>
              <w:keepLines/>
              <w:spacing w:after="0" w:line="240" w:lineRule="auto"/>
              <w:jc w:val="right"/>
            </w:pPr>
            <w:r>
              <w:rPr>
                <w:b/>
                <w:sz w:val="18"/>
              </w:rPr>
              <w:t>1.593,22</w:t>
            </w:r>
          </w:p>
        </w:tc>
        <w:tc>
          <w:tcPr>
            <w:tcW w:w="700" w:type="dxa"/>
            <w:tcMar>
              <w:top w:w="0" w:type="dxa"/>
              <w:bottom w:w="0" w:type="dxa"/>
            </w:tcMar>
            <w:vAlign w:val="center"/>
          </w:tcPr>
          <w:p w14:paraId="2F777B97" w14:textId="77777777" w:rsidR="003E5FCF" w:rsidRDefault="00000000">
            <w:pPr>
              <w:keepNext/>
              <w:keepLines/>
              <w:spacing w:after="0" w:line="240" w:lineRule="auto"/>
              <w:jc w:val="right"/>
            </w:pPr>
            <w:r>
              <w:rPr>
                <w:b/>
                <w:sz w:val="18"/>
              </w:rPr>
              <w:t>5,4</w:t>
            </w:r>
          </w:p>
        </w:tc>
      </w:tr>
      <w:tr w:rsidR="003E5FCF" w14:paraId="46057A15" w14:textId="77777777">
        <w:tblPrEx>
          <w:tblCellMar>
            <w:top w:w="0" w:type="dxa"/>
            <w:bottom w:w="0" w:type="dxa"/>
          </w:tblCellMar>
        </w:tblPrEx>
        <w:trPr>
          <w:cantSplit/>
          <w:trHeight w:val="560"/>
        </w:trPr>
        <w:tc>
          <w:tcPr>
            <w:tcW w:w="700" w:type="dxa"/>
            <w:tcMar>
              <w:top w:w="0" w:type="dxa"/>
              <w:bottom w:w="0" w:type="dxa"/>
            </w:tcMar>
            <w:vAlign w:val="center"/>
          </w:tcPr>
          <w:p w14:paraId="790217A3" w14:textId="77777777" w:rsidR="003E5FCF" w:rsidRDefault="00000000">
            <w:pPr>
              <w:keepNext/>
              <w:keepLines/>
              <w:spacing w:after="0" w:line="240" w:lineRule="auto"/>
            </w:pPr>
            <w:r>
              <w:rPr>
                <w:sz w:val="18"/>
              </w:rPr>
              <w:t>8</w:t>
            </w:r>
          </w:p>
        </w:tc>
        <w:tc>
          <w:tcPr>
            <w:tcW w:w="3180" w:type="dxa"/>
            <w:tcMar>
              <w:top w:w="0" w:type="dxa"/>
              <w:bottom w:w="0" w:type="dxa"/>
            </w:tcMar>
            <w:vAlign w:val="center"/>
          </w:tcPr>
          <w:p w14:paraId="6051C2CC" w14:textId="77777777" w:rsidR="003E5FCF"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BAAEC3E" w14:textId="77777777" w:rsidR="003E5FCF" w:rsidRDefault="00000000">
            <w:pPr>
              <w:keepNext/>
              <w:keepLines/>
              <w:spacing w:after="0" w:line="240" w:lineRule="auto"/>
            </w:pPr>
            <w:r>
              <w:rPr>
                <w:sz w:val="18"/>
              </w:rPr>
              <w:t>8</w:t>
            </w:r>
          </w:p>
        </w:tc>
        <w:tc>
          <w:tcPr>
            <w:tcW w:w="1860" w:type="dxa"/>
            <w:tcMar>
              <w:top w:w="0" w:type="dxa"/>
              <w:bottom w:w="0" w:type="dxa"/>
            </w:tcMar>
            <w:vAlign w:val="center"/>
          </w:tcPr>
          <w:p w14:paraId="2735E216" w14:textId="77777777" w:rsidR="003E5FCF" w:rsidRDefault="00000000">
            <w:pPr>
              <w:keepNext/>
              <w:keepLines/>
              <w:spacing w:after="0" w:line="240" w:lineRule="auto"/>
              <w:jc w:val="right"/>
            </w:pPr>
            <w:r>
              <w:rPr>
                <w:sz w:val="18"/>
              </w:rPr>
              <w:t>0,00</w:t>
            </w:r>
          </w:p>
        </w:tc>
        <w:tc>
          <w:tcPr>
            <w:tcW w:w="1860" w:type="dxa"/>
            <w:tcMar>
              <w:top w:w="0" w:type="dxa"/>
              <w:bottom w:w="0" w:type="dxa"/>
            </w:tcMar>
            <w:vAlign w:val="center"/>
          </w:tcPr>
          <w:p w14:paraId="592F3E7B" w14:textId="77777777" w:rsidR="003E5FCF" w:rsidRDefault="00000000">
            <w:pPr>
              <w:keepNext/>
              <w:keepLines/>
              <w:spacing w:after="0" w:line="240" w:lineRule="auto"/>
              <w:jc w:val="right"/>
            </w:pPr>
            <w:r>
              <w:rPr>
                <w:sz w:val="18"/>
              </w:rPr>
              <w:t>0,00</w:t>
            </w:r>
          </w:p>
        </w:tc>
        <w:tc>
          <w:tcPr>
            <w:tcW w:w="700" w:type="dxa"/>
            <w:tcMar>
              <w:top w:w="0" w:type="dxa"/>
              <w:bottom w:w="0" w:type="dxa"/>
            </w:tcMar>
            <w:vAlign w:val="center"/>
          </w:tcPr>
          <w:p w14:paraId="047CE262" w14:textId="77777777" w:rsidR="003E5FCF" w:rsidRDefault="00000000">
            <w:pPr>
              <w:keepNext/>
              <w:keepLines/>
              <w:spacing w:after="0" w:line="240" w:lineRule="auto"/>
              <w:jc w:val="right"/>
            </w:pPr>
            <w:r>
              <w:rPr>
                <w:sz w:val="18"/>
              </w:rPr>
              <w:t>-</w:t>
            </w:r>
          </w:p>
        </w:tc>
      </w:tr>
      <w:tr w:rsidR="003E5FCF" w14:paraId="4F42A560" w14:textId="77777777">
        <w:tblPrEx>
          <w:tblCellMar>
            <w:top w:w="0" w:type="dxa"/>
            <w:bottom w:w="0" w:type="dxa"/>
          </w:tblCellMar>
        </w:tblPrEx>
        <w:trPr>
          <w:cantSplit/>
          <w:trHeight w:val="560"/>
        </w:trPr>
        <w:tc>
          <w:tcPr>
            <w:tcW w:w="700" w:type="dxa"/>
            <w:tcMar>
              <w:top w:w="0" w:type="dxa"/>
              <w:bottom w:w="0" w:type="dxa"/>
            </w:tcMar>
            <w:vAlign w:val="center"/>
          </w:tcPr>
          <w:p w14:paraId="5B293F1C" w14:textId="77777777" w:rsidR="003E5FCF" w:rsidRDefault="00000000">
            <w:pPr>
              <w:keepNext/>
              <w:keepLines/>
              <w:spacing w:after="0" w:line="240" w:lineRule="auto"/>
            </w:pPr>
            <w:r>
              <w:rPr>
                <w:sz w:val="18"/>
              </w:rPr>
              <w:t>5</w:t>
            </w:r>
          </w:p>
        </w:tc>
        <w:tc>
          <w:tcPr>
            <w:tcW w:w="3180" w:type="dxa"/>
            <w:tcMar>
              <w:top w:w="0" w:type="dxa"/>
              <w:bottom w:w="0" w:type="dxa"/>
            </w:tcMar>
            <w:vAlign w:val="center"/>
          </w:tcPr>
          <w:p w14:paraId="5866F9F3" w14:textId="77777777" w:rsidR="003E5FCF"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18FC4E2" w14:textId="77777777" w:rsidR="003E5FCF" w:rsidRDefault="00000000">
            <w:pPr>
              <w:keepNext/>
              <w:keepLines/>
              <w:spacing w:after="0" w:line="240" w:lineRule="auto"/>
            </w:pPr>
            <w:r>
              <w:rPr>
                <w:sz w:val="18"/>
              </w:rPr>
              <w:t>5</w:t>
            </w:r>
          </w:p>
        </w:tc>
        <w:tc>
          <w:tcPr>
            <w:tcW w:w="1860" w:type="dxa"/>
            <w:tcMar>
              <w:top w:w="0" w:type="dxa"/>
              <w:bottom w:w="0" w:type="dxa"/>
            </w:tcMar>
            <w:vAlign w:val="center"/>
          </w:tcPr>
          <w:p w14:paraId="0380D145" w14:textId="77777777" w:rsidR="003E5FCF" w:rsidRDefault="00000000">
            <w:pPr>
              <w:keepNext/>
              <w:keepLines/>
              <w:spacing w:after="0" w:line="240" w:lineRule="auto"/>
              <w:jc w:val="right"/>
            </w:pPr>
            <w:r>
              <w:rPr>
                <w:sz w:val="18"/>
              </w:rPr>
              <w:t>0,00</w:t>
            </w:r>
          </w:p>
        </w:tc>
        <w:tc>
          <w:tcPr>
            <w:tcW w:w="1860" w:type="dxa"/>
            <w:tcMar>
              <w:top w:w="0" w:type="dxa"/>
              <w:bottom w:w="0" w:type="dxa"/>
            </w:tcMar>
            <w:vAlign w:val="center"/>
          </w:tcPr>
          <w:p w14:paraId="7FE8FC43" w14:textId="77777777" w:rsidR="003E5FCF" w:rsidRDefault="00000000">
            <w:pPr>
              <w:keepNext/>
              <w:keepLines/>
              <w:spacing w:after="0" w:line="240" w:lineRule="auto"/>
              <w:jc w:val="right"/>
            </w:pPr>
            <w:r>
              <w:rPr>
                <w:sz w:val="18"/>
              </w:rPr>
              <w:t>0,00</w:t>
            </w:r>
          </w:p>
        </w:tc>
        <w:tc>
          <w:tcPr>
            <w:tcW w:w="700" w:type="dxa"/>
            <w:tcMar>
              <w:top w:w="0" w:type="dxa"/>
              <w:bottom w:w="0" w:type="dxa"/>
            </w:tcMar>
            <w:vAlign w:val="center"/>
          </w:tcPr>
          <w:p w14:paraId="28228485" w14:textId="77777777" w:rsidR="003E5FCF" w:rsidRDefault="00000000">
            <w:pPr>
              <w:keepNext/>
              <w:keepLines/>
              <w:spacing w:after="0" w:line="240" w:lineRule="auto"/>
              <w:jc w:val="right"/>
            </w:pPr>
            <w:r>
              <w:rPr>
                <w:sz w:val="18"/>
              </w:rPr>
              <w:t>-</w:t>
            </w:r>
          </w:p>
        </w:tc>
      </w:tr>
      <w:tr w:rsidR="003E5FCF" w14:paraId="4BDC9C10" w14:textId="77777777">
        <w:tblPrEx>
          <w:tblCellMar>
            <w:top w:w="0" w:type="dxa"/>
            <w:bottom w:w="0" w:type="dxa"/>
          </w:tblCellMar>
        </w:tblPrEx>
        <w:trPr>
          <w:cantSplit/>
          <w:trHeight w:val="560"/>
        </w:trPr>
        <w:tc>
          <w:tcPr>
            <w:tcW w:w="700" w:type="dxa"/>
            <w:tcMar>
              <w:top w:w="0" w:type="dxa"/>
              <w:bottom w:w="0" w:type="dxa"/>
            </w:tcMar>
            <w:vAlign w:val="center"/>
          </w:tcPr>
          <w:p w14:paraId="4ACF4385" w14:textId="77777777" w:rsidR="003E5FCF" w:rsidRDefault="003E5FCF">
            <w:pPr>
              <w:keepNext/>
              <w:keepLines/>
              <w:spacing w:after="0" w:line="240" w:lineRule="auto"/>
            </w:pPr>
          </w:p>
        </w:tc>
        <w:tc>
          <w:tcPr>
            <w:tcW w:w="3180" w:type="dxa"/>
            <w:tcMar>
              <w:top w:w="0" w:type="dxa"/>
              <w:bottom w:w="0" w:type="dxa"/>
            </w:tcMar>
            <w:vAlign w:val="center"/>
          </w:tcPr>
          <w:p w14:paraId="0C5E1186" w14:textId="77777777" w:rsidR="003E5FCF"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FD2EABE" w14:textId="77777777" w:rsidR="003E5FCF" w:rsidRDefault="00000000">
            <w:pPr>
              <w:keepNext/>
              <w:keepLines/>
              <w:spacing w:after="0" w:line="240" w:lineRule="auto"/>
            </w:pPr>
            <w:r>
              <w:rPr>
                <w:b/>
                <w:sz w:val="18"/>
              </w:rPr>
              <w:t>X003, Y003</w:t>
            </w:r>
          </w:p>
        </w:tc>
        <w:tc>
          <w:tcPr>
            <w:tcW w:w="1860" w:type="dxa"/>
            <w:tcMar>
              <w:top w:w="0" w:type="dxa"/>
              <w:bottom w:w="0" w:type="dxa"/>
            </w:tcMar>
            <w:vAlign w:val="center"/>
          </w:tcPr>
          <w:p w14:paraId="2984432E" w14:textId="77777777" w:rsidR="003E5FCF" w:rsidRDefault="00000000">
            <w:pPr>
              <w:keepNext/>
              <w:keepLines/>
              <w:spacing w:after="0" w:line="240" w:lineRule="auto"/>
              <w:jc w:val="right"/>
            </w:pPr>
            <w:r>
              <w:rPr>
                <w:b/>
                <w:sz w:val="18"/>
              </w:rPr>
              <w:t>0,00</w:t>
            </w:r>
          </w:p>
        </w:tc>
        <w:tc>
          <w:tcPr>
            <w:tcW w:w="1860" w:type="dxa"/>
            <w:tcMar>
              <w:top w:w="0" w:type="dxa"/>
              <w:bottom w:w="0" w:type="dxa"/>
            </w:tcMar>
            <w:vAlign w:val="center"/>
          </w:tcPr>
          <w:p w14:paraId="5212127A" w14:textId="77777777" w:rsidR="003E5FCF" w:rsidRDefault="00000000">
            <w:pPr>
              <w:keepNext/>
              <w:keepLines/>
              <w:spacing w:after="0" w:line="240" w:lineRule="auto"/>
              <w:jc w:val="right"/>
            </w:pPr>
            <w:r>
              <w:rPr>
                <w:b/>
                <w:sz w:val="18"/>
              </w:rPr>
              <w:t>0,00</w:t>
            </w:r>
          </w:p>
        </w:tc>
        <w:tc>
          <w:tcPr>
            <w:tcW w:w="700" w:type="dxa"/>
            <w:tcMar>
              <w:top w:w="0" w:type="dxa"/>
              <w:bottom w:w="0" w:type="dxa"/>
            </w:tcMar>
            <w:vAlign w:val="center"/>
          </w:tcPr>
          <w:p w14:paraId="1A5BB933" w14:textId="77777777" w:rsidR="003E5FCF" w:rsidRDefault="00000000">
            <w:pPr>
              <w:keepNext/>
              <w:keepLines/>
              <w:spacing w:after="0" w:line="240" w:lineRule="auto"/>
              <w:jc w:val="right"/>
            </w:pPr>
            <w:r>
              <w:rPr>
                <w:b/>
                <w:sz w:val="18"/>
              </w:rPr>
              <w:t>-</w:t>
            </w:r>
          </w:p>
        </w:tc>
      </w:tr>
      <w:tr w:rsidR="003E5FCF" w14:paraId="3B59D309" w14:textId="77777777">
        <w:tblPrEx>
          <w:tblCellMar>
            <w:top w:w="0" w:type="dxa"/>
            <w:bottom w:w="0" w:type="dxa"/>
          </w:tblCellMar>
        </w:tblPrEx>
        <w:trPr>
          <w:cantSplit/>
          <w:trHeight w:val="560"/>
        </w:trPr>
        <w:tc>
          <w:tcPr>
            <w:tcW w:w="700" w:type="dxa"/>
            <w:tcMar>
              <w:top w:w="0" w:type="dxa"/>
              <w:bottom w:w="0" w:type="dxa"/>
            </w:tcMar>
            <w:vAlign w:val="center"/>
          </w:tcPr>
          <w:p w14:paraId="695BF70A" w14:textId="77777777" w:rsidR="003E5FCF" w:rsidRDefault="003E5FCF">
            <w:pPr>
              <w:keepNext/>
              <w:keepLines/>
              <w:spacing w:after="0" w:line="240" w:lineRule="auto"/>
            </w:pPr>
          </w:p>
        </w:tc>
        <w:tc>
          <w:tcPr>
            <w:tcW w:w="3180" w:type="dxa"/>
            <w:tcMar>
              <w:top w:w="0" w:type="dxa"/>
              <w:bottom w:w="0" w:type="dxa"/>
            </w:tcMar>
            <w:vAlign w:val="center"/>
          </w:tcPr>
          <w:p w14:paraId="082123B0" w14:textId="77777777" w:rsidR="003E5FCF"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A62BD5F" w14:textId="77777777" w:rsidR="003E5FCF" w:rsidRDefault="00000000">
            <w:pPr>
              <w:keepNext/>
              <w:keepLines/>
              <w:spacing w:after="0" w:line="240" w:lineRule="auto"/>
            </w:pPr>
            <w:r>
              <w:rPr>
                <w:b/>
                <w:sz w:val="18"/>
              </w:rPr>
              <w:t>Y005</w:t>
            </w:r>
          </w:p>
        </w:tc>
        <w:tc>
          <w:tcPr>
            <w:tcW w:w="1860" w:type="dxa"/>
            <w:tcMar>
              <w:top w:w="0" w:type="dxa"/>
              <w:bottom w:w="0" w:type="dxa"/>
            </w:tcMar>
            <w:vAlign w:val="center"/>
          </w:tcPr>
          <w:p w14:paraId="3907ECAF" w14:textId="77777777" w:rsidR="003E5FCF" w:rsidRDefault="00000000">
            <w:pPr>
              <w:keepNext/>
              <w:keepLines/>
              <w:spacing w:after="0" w:line="240" w:lineRule="auto"/>
              <w:jc w:val="right"/>
            </w:pPr>
            <w:r>
              <w:rPr>
                <w:b/>
                <w:sz w:val="18"/>
              </w:rPr>
              <w:t>118.034,84</w:t>
            </w:r>
          </w:p>
        </w:tc>
        <w:tc>
          <w:tcPr>
            <w:tcW w:w="1860" w:type="dxa"/>
            <w:tcMar>
              <w:top w:w="0" w:type="dxa"/>
              <w:bottom w:w="0" w:type="dxa"/>
            </w:tcMar>
            <w:vAlign w:val="center"/>
          </w:tcPr>
          <w:p w14:paraId="000FC321" w14:textId="77777777" w:rsidR="003E5FCF" w:rsidRDefault="00000000">
            <w:pPr>
              <w:keepNext/>
              <w:keepLines/>
              <w:spacing w:after="0" w:line="240" w:lineRule="auto"/>
              <w:jc w:val="right"/>
            </w:pPr>
            <w:r>
              <w:rPr>
                <w:b/>
                <w:sz w:val="18"/>
              </w:rPr>
              <w:t>112.818,38</w:t>
            </w:r>
          </w:p>
        </w:tc>
        <w:tc>
          <w:tcPr>
            <w:tcW w:w="700" w:type="dxa"/>
            <w:tcMar>
              <w:top w:w="0" w:type="dxa"/>
              <w:bottom w:w="0" w:type="dxa"/>
            </w:tcMar>
            <w:vAlign w:val="center"/>
          </w:tcPr>
          <w:p w14:paraId="77BD7C63" w14:textId="77777777" w:rsidR="003E5FCF" w:rsidRDefault="00000000">
            <w:pPr>
              <w:keepNext/>
              <w:keepLines/>
              <w:spacing w:after="0" w:line="240" w:lineRule="auto"/>
              <w:jc w:val="right"/>
            </w:pPr>
            <w:r>
              <w:rPr>
                <w:b/>
                <w:sz w:val="18"/>
              </w:rPr>
              <w:t>95,6</w:t>
            </w:r>
          </w:p>
        </w:tc>
      </w:tr>
    </w:tbl>
    <w:p w14:paraId="0001C522" w14:textId="77777777" w:rsidR="003E5FCF" w:rsidRDefault="003E5FCF">
      <w:pPr>
        <w:spacing w:after="0"/>
      </w:pPr>
    </w:p>
    <w:p w14:paraId="5EF45A0E" w14:textId="77777777" w:rsidR="003E5FCF" w:rsidRDefault="00000000">
      <w:r>
        <w:t xml:space="preserve">U razdoblju od 1. siječnja do 31. prosinca 2025. godine, prihodi poslovanja Dječjeg vrtića Slunj ostvareni su u ukupnom iznosu od 1.125.118,25 EUR. Najznačajnije povećanje prihoda zabilježeno je iz proračuna koji nisu nadležni (općine Rakovica i Cetingrad), kao i iz proračuna osnivača, a glavni razlog povećanja je rast ekonomske cijene po djetetu u svibnju 2025. godine. Vrtić se financira tako da roditelji sudjeluju u podmirivanju dijela ekonomske </w:t>
      </w:r>
      <w:r>
        <w:lastRenderedPageBreak/>
        <w:t>cijene, dok osnivač i navedene općine financiraju preostali iznos. Uslijed povećanja ekonomske cijene udio roditelja je ostao nepromijenjen.   </w:t>
      </w:r>
    </w:p>
    <w:p w14:paraId="5F2FA779" w14:textId="77777777" w:rsidR="003E5FCF" w:rsidRDefault="00000000">
      <w:r>
        <w:t>U razdoblju od 1. siječnja do 31. prosinca 2025. godine, rashodi poslovanja Dječjeg vrtića Slunj iznosili su ukupno 1.236.343,41 EUR. Najveće povećanje rashoda zabilježeno je u kategoriji rashoda za zaposlene zbog povećanja plaća i dodatnog zapošljavanja koje je realizirano u rujnu i prosincu 2024. godine, a čiji se učinak  odrazio na tekuće razdoblje. Osnovica za obračun plaće rasla je 3% u veljači i 3% u rujnu 2025. godine.</w:t>
      </w:r>
    </w:p>
    <w:p w14:paraId="4238B33C" w14:textId="77777777" w:rsidR="003E5FCF" w:rsidRDefault="00000000">
      <w:r>
        <w:t>U istom izvještajnom razdoblju nisu ostvareni prihodi od prodaje nefinancijske imovine, dok su rashodi za nabavu nefinancijske imovine iznosili 1.593,22 EUR. Ovaj iznos odnosi se na nabavu dvaju službenih mobilnih uređaja, parne postaje za glačanje, akumulatorske bušilice te računala za računovodstvo, koje je nabavljeno zbog kvara i nemogućnosti popravka prethodnog uređaja.  </w:t>
      </w:r>
    </w:p>
    <w:p w14:paraId="1440DC51" w14:textId="77777777" w:rsidR="003E5FCF" w:rsidRDefault="00000000">
      <w:r>
        <w:t>U razdoblju od 1. siječnja do 31. prosinca 2025. godine nije bilo ostvarenih primitaka ni izdataka od financijske imovine i zaduživanja.  </w:t>
      </w:r>
    </w:p>
    <w:p w14:paraId="1750C8E6" w14:textId="77777777" w:rsidR="003E5FCF" w:rsidRDefault="00000000">
      <w:r>
        <w:t>U razdoblju od 1. siječnja do 31. prosinca 2025. godine vrtić je ostvario manjak prihoda u ukupnom iznosu od 112.818,38 EUR.  Dio manjka, u iznosu 65.930,67 EUR, odnosi se na tzv. metodološki manjak, koji proizlazi iz primjene modificiranog obračunskog načela iskazivanja prihoda /primitaka i rashoda/izdatka. Konkretno, ovaj dio manjka odnosi se na plaću za prosinac 2025. godine, koja je obračunata i evidentirana kao rashod u prosincu, a sredstva za isplatu doznačena su u siječnju 2026. godine. Takva vremenska razlika u knjiženju prihoda i rashoda stvara računovodstveni privid manjka, iako će se on u narednom razdoblju uravnotežiti.</w:t>
      </w:r>
    </w:p>
    <w:p w14:paraId="1137DF3F" w14:textId="77777777" w:rsidR="003E5FCF" w:rsidRDefault="00000000">
      <w:r>
        <w:t>Dječji vrtić Slunj je raspolagao iznosom od 50.773,72 EUR prenesenog viška prihoda iz prethodnih godina. Gotovo cjelokupan iznos navedenog viška bio je namijenjen financiranju rashoda za plaće, pri čemu je tijekom 2025. godine utrošeno 49.892,34 EUR.</w:t>
      </w:r>
    </w:p>
    <w:p w14:paraId="277C3680" w14:textId="77777777" w:rsidR="003E5FCF" w:rsidRDefault="00000000">
      <w:r>
        <w:t>S obzirom na to da povećanje prihoda u izvještajnom razdoblju nije bilo dostatno za podmirenje ukupnih rashoda i da je vrtić poslovao s manjkom donesena je Odluka o novoj ekonomskoj cijeni smještaja djece u Dječji vrtić Slunj koja se primjenjuje od 1.1.2026. godine.</w:t>
      </w:r>
    </w:p>
    <w:p w14:paraId="63439255" w14:textId="77777777" w:rsidR="003E5FCF" w:rsidRDefault="00000000">
      <w:r>
        <w:br/>
      </w:r>
    </w:p>
    <w:p w14:paraId="3251ABCF" w14:textId="77777777" w:rsidR="003E5FCF"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58CF4B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38F161"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90CD29"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1B7D35"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9F2689"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9605CD"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694D81" w14:textId="77777777" w:rsidR="003E5FCF" w:rsidRDefault="00000000">
            <w:pPr>
              <w:keepNext/>
              <w:keepLines/>
              <w:spacing w:after="0" w:line="240" w:lineRule="auto"/>
              <w:jc w:val="center"/>
            </w:pPr>
            <w:r>
              <w:rPr>
                <w:b/>
                <w:sz w:val="18"/>
              </w:rPr>
              <w:t>Indeks (%)</w:t>
            </w:r>
          </w:p>
        </w:tc>
      </w:tr>
      <w:tr w:rsidR="003E5FCF" w14:paraId="4A694E39" w14:textId="77777777">
        <w:tblPrEx>
          <w:tblCellMar>
            <w:top w:w="0" w:type="dxa"/>
            <w:bottom w:w="0" w:type="dxa"/>
          </w:tblCellMar>
        </w:tblPrEx>
        <w:trPr>
          <w:cantSplit/>
          <w:trHeight w:val="560"/>
        </w:trPr>
        <w:tc>
          <w:tcPr>
            <w:tcW w:w="700" w:type="dxa"/>
            <w:tcMar>
              <w:top w:w="0" w:type="dxa"/>
              <w:bottom w:w="0" w:type="dxa"/>
            </w:tcMar>
            <w:vAlign w:val="center"/>
          </w:tcPr>
          <w:p w14:paraId="238B3895" w14:textId="77777777" w:rsidR="003E5FCF" w:rsidRDefault="00000000">
            <w:pPr>
              <w:keepNext/>
              <w:keepLines/>
              <w:spacing w:after="0" w:line="240" w:lineRule="auto"/>
            </w:pPr>
            <w:r>
              <w:rPr>
                <w:sz w:val="18"/>
              </w:rPr>
              <w:t>6361</w:t>
            </w:r>
          </w:p>
        </w:tc>
        <w:tc>
          <w:tcPr>
            <w:tcW w:w="3180" w:type="dxa"/>
            <w:tcMar>
              <w:top w:w="0" w:type="dxa"/>
              <w:bottom w:w="0" w:type="dxa"/>
            </w:tcMar>
            <w:vAlign w:val="center"/>
          </w:tcPr>
          <w:p w14:paraId="2F066108" w14:textId="77777777" w:rsidR="003E5FCF"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22C52C86" w14:textId="77777777" w:rsidR="003E5FCF" w:rsidRDefault="00000000">
            <w:pPr>
              <w:keepNext/>
              <w:keepLines/>
              <w:spacing w:after="0" w:line="240" w:lineRule="auto"/>
            </w:pPr>
            <w:r>
              <w:rPr>
                <w:sz w:val="18"/>
              </w:rPr>
              <w:t>6361</w:t>
            </w:r>
          </w:p>
        </w:tc>
        <w:tc>
          <w:tcPr>
            <w:tcW w:w="1860" w:type="dxa"/>
            <w:tcMar>
              <w:top w:w="0" w:type="dxa"/>
              <w:bottom w:w="0" w:type="dxa"/>
            </w:tcMar>
            <w:vAlign w:val="center"/>
          </w:tcPr>
          <w:p w14:paraId="0149E880" w14:textId="77777777" w:rsidR="003E5FCF" w:rsidRDefault="00000000">
            <w:pPr>
              <w:keepNext/>
              <w:keepLines/>
              <w:spacing w:after="0" w:line="240" w:lineRule="auto"/>
              <w:jc w:val="right"/>
            </w:pPr>
            <w:r>
              <w:rPr>
                <w:sz w:val="18"/>
              </w:rPr>
              <w:t>189.249,20</w:t>
            </w:r>
          </w:p>
        </w:tc>
        <w:tc>
          <w:tcPr>
            <w:tcW w:w="1860" w:type="dxa"/>
            <w:tcMar>
              <w:top w:w="0" w:type="dxa"/>
              <w:bottom w:w="0" w:type="dxa"/>
            </w:tcMar>
            <w:vAlign w:val="center"/>
          </w:tcPr>
          <w:p w14:paraId="0B69257C" w14:textId="77777777" w:rsidR="003E5FCF" w:rsidRDefault="00000000">
            <w:pPr>
              <w:keepNext/>
              <w:keepLines/>
              <w:spacing w:after="0" w:line="240" w:lineRule="auto"/>
              <w:jc w:val="right"/>
            </w:pPr>
            <w:r>
              <w:rPr>
                <w:sz w:val="18"/>
              </w:rPr>
              <w:t>286.907,32</w:t>
            </w:r>
          </w:p>
        </w:tc>
        <w:tc>
          <w:tcPr>
            <w:tcW w:w="700" w:type="dxa"/>
            <w:tcMar>
              <w:top w:w="0" w:type="dxa"/>
              <w:bottom w:w="0" w:type="dxa"/>
            </w:tcMar>
            <w:vAlign w:val="center"/>
          </w:tcPr>
          <w:p w14:paraId="5BCFB540" w14:textId="77777777" w:rsidR="003E5FCF" w:rsidRDefault="00000000">
            <w:pPr>
              <w:keepNext/>
              <w:keepLines/>
              <w:spacing w:after="0" w:line="240" w:lineRule="auto"/>
              <w:jc w:val="right"/>
            </w:pPr>
            <w:r>
              <w:rPr>
                <w:sz w:val="18"/>
              </w:rPr>
              <w:t>151,6</w:t>
            </w:r>
          </w:p>
        </w:tc>
      </w:tr>
    </w:tbl>
    <w:p w14:paraId="44EACD81" w14:textId="77777777" w:rsidR="003E5FCF" w:rsidRDefault="003E5FCF">
      <w:pPr>
        <w:spacing w:after="0"/>
      </w:pPr>
    </w:p>
    <w:p w14:paraId="7EDA9DCF" w14:textId="77777777" w:rsidR="003E5FCF" w:rsidRDefault="00000000">
      <w:r>
        <w:t xml:space="preserve">Dječji vrtić Slunj je tijekom 2025. godine ostvario tekuće pomoći iz proračuna Općine Rakovica, Općine Cetingrad te iz državnog proračuna za provedbu programa </w:t>
      </w:r>
      <w:proofErr w:type="spellStart"/>
      <w:r>
        <w:t>predškole</w:t>
      </w:r>
      <w:proofErr w:type="spellEnd"/>
      <w:r>
        <w:t xml:space="preserve"> i </w:t>
      </w:r>
      <w:r>
        <w:lastRenderedPageBreak/>
        <w:t>integraciju djece s teškoćama u razvoju. Obje općine sufinanciraju uslugu boravka djece u vrtiću koja imaju prebivalište na području njihove općine.  </w:t>
      </w:r>
    </w:p>
    <w:p w14:paraId="23E50723" w14:textId="77777777" w:rsidR="003E5FCF" w:rsidRDefault="00000000">
      <w:r>
        <w:t>U izvještajnom razdoblju ostvareni su sljedeći iznosi:</w:t>
      </w:r>
    </w:p>
    <w:p w14:paraId="244F83C9" w14:textId="77777777" w:rsidR="003E5FCF" w:rsidRDefault="00000000">
      <w:r>
        <w:t>- iz proračuna Općine Rakovica: 233.039,40 eura</w:t>
      </w:r>
    </w:p>
    <w:p w14:paraId="197F8718" w14:textId="77777777" w:rsidR="003E5FCF" w:rsidRDefault="00000000">
      <w:r>
        <w:t>- iz proračuna Općine Cetingrad: 51.385,22 eura</w:t>
      </w:r>
    </w:p>
    <w:p w14:paraId="4C6E6BB9" w14:textId="77777777" w:rsidR="003E5FCF" w:rsidRDefault="00000000">
      <w:r>
        <w:t xml:space="preserve">- iz državnog proračuna (Ministarstvo znanosti, obrazovanja i mladih): 2.482,70 eura (za program </w:t>
      </w:r>
      <w:proofErr w:type="spellStart"/>
      <w:r>
        <w:t>predškole</w:t>
      </w:r>
      <w:proofErr w:type="spellEnd"/>
      <w:r>
        <w:t xml:space="preserve"> i integraciju djece s teškoćama u razvoju)  </w:t>
      </w:r>
    </w:p>
    <w:p w14:paraId="43278767" w14:textId="77777777" w:rsidR="003E5FCF" w:rsidRDefault="00000000">
      <w:r>
        <w:t>Ukupan iznos tekućih pomoći veći je u odnosu na isto izvještajno razdoblje prethodne godine zbog povećanja ekonomske cijene po djetetu u svibnju 2025. godine, što je izravno utjecalo na obje općine. Naime, općine zajedno s roditeljima sudjeluju u financiranju ekonomske cijene smještaja djece, pri čemu je udio roditelja ostao nepromijenjen, dok je ukupno povećanje ekonomske cijene teretilo proračune navedenih općina.</w:t>
      </w:r>
    </w:p>
    <w:p w14:paraId="5E82432C" w14:textId="77777777" w:rsidR="003E5FCF" w:rsidRDefault="003E5FCF"/>
    <w:p w14:paraId="4657D722" w14:textId="77777777" w:rsidR="003E5FCF"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6B4EC8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E51FA0"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FB02A9"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A1D674"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ACD771"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D1BF7A"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AB725B" w14:textId="77777777" w:rsidR="003E5FCF" w:rsidRDefault="00000000">
            <w:pPr>
              <w:keepNext/>
              <w:keepLines/>
              <w:spacing w:after="0" w:line="240" w:lineRule="auto"/>
              <w:jc w:val="center"/>
            </w:pPr>
            <w:r>
              <w:rPr>
                <w:b/>
                <w:sz w:val="18"/>
              </w:rPr>
              <w:t>Indeks (%)</w:t>
            </w:r>
          </w:p>
        </w:tc>
      </w:tr>
      <w:tr w:rsidR="003E5FCF" w14:paraId="0D3C51D8" w14:textId="77777777">
        <w:tblPrEx>
          <w:tblCellMar>
            <w:top w:w="0" w:type="dxa"/>
            <w:bottom w:w="0" w:type="dxa"/>
          </w:tblCellMar>
        </w:tblPrEx>
        <w:trPr>
          <w:cantSplit/>
          <w:trHeight w:val="560"/>
        </w:trPr>
        <w:tc>
          <w:tcPr>
            <w:tcW w:w="700" w:type="dxa"/>
            <w:tcMar>
              <w:top w:w="0" w:type="dxa"/>
              <w:bottom w:w="0" w:type="dxa"/>
            </w:tcMar>
            <w:vAlign w:val="center"/>
          </w:tcPr>
          <w:p w14:paraId="485C8C82" w14:textId="77777777" w:rsidR="003E5FCF" w:rsidRDefault="00000000">
            <w:pPr>
              <w:keepNext/>
              <w:keepLines/>
              <w:spacing w:after="0" w:line="240" w:lineRule="auto"/>
            </w:pPr>
            <w:r>
              <w:rPr>
                <w:sz w:val="18"/>
              </w:rPr>
              <w:t>6413</w:t>
            </w:r>
          </w:p>
        </w:tc>
        <w:tc>
          <w:tcPr>
            <w:tcW w:w="3180" w:type="dxa"/>
            <w:tcMar>
              <w:top w:w="0" w:type="dxa"/>
              <w:bottom w:w="0" w:type="dxa"/>
            </w:tcMar>
            <w:vAlign w:val="center"/>
          </w:tcPr>
          <w:p w14:paraId="21873AA9" w14:textId="77777777" w:rsidR="003E5FCF"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5BE21A4B" w14:textId="77777777" w:rsidR="003E5FCF" w:rsidRDefault="00000000">
            <w:pPr>
              <w:keepNext/>
              <w:keepLines/>
              <w:spacing w:after="0" w:line="240" w:lineRule="auto"/>
            </w:pPr>
            <w:r>
              <w:rPr>
                <w:sz w:val="18"/>
              </w:rPr>
              <w:t>6413</w:t>
            </w:r>
          </w:p>
        </w:tc>
        <w:tc>
          <w:tcPr>
            <w:tcW w:w="1860" w:type="dxa"/>
            <w:tcMar>
              <w:top w:w="0" w:type="dxa"/>
              <w:bottom w:w="0" w:type="dxa"/>
            </w:tcMar>
            <w:vAlign w:val="center"/>
          </w:tcPr>
          <w:p w14:paraId="0C17923B" w14:textId="77777777" w:rsidR="003E5FCF" w:rsidRDefault="00000000">
            <w:pPr>
              <w:keepNext/>
              <w:keepLines/>
              <w:spacing w:after="0" w:line="240" w:lineRule="auto"/>
              <w:jc w:val="right"/>
            </w:pPr>
            <w:r>
              <w:rPr>
                <w:sz w:val="18"/>
              </w:rPr>
              <w:t>189,17</w:t>
            </w:r>
          </w:p>
        </w:tc>
        <w:tc>
          <w:tcPr>
            <w:tcW w:w="1860" w:type="dxa"/>
            <w:tcMar>
              <w:top w:w="0" w:type="dxa"/>
              <w:bottom w:w="0" w:type="dxa"/>
            </w:tcMar>
            <w:vAlign w:val="center"/>
          </w:tcPr>
          <w:p w14:paraId="7F5192E2" w14:textId="77777777" w:rsidR="003E5FCF" w:rsidRDefault="00000000">
            <w:pPr>
              <w:keepNext/>
              <w:keepLines/>
              <w:spacing w:after="0" w:line="240" w:lineRule="auto"/>
              <w:jc w:val="right"/>
            </w:pPr>
            <w:r>
              <w:rPr>
                <w:sz w:val="18"/>
              </w:rPr>
              <w:t>0,00</w:t>
            </w:r>
          </w:p>
        </w:tc>
        <w:tc>
          <w:tcPr>
            <w:tcW w:w="700" w:type="dxa"/>
            <w:tcMar>
              <w:top w:w="0" w:type="dxa"/>
              <w:bottom w:w="0" w:type="dxa"/>
            </w:tcMar>
            <w:vAlign w:val="center"/>
          </w:tcPr>
          <w:p w14:paraId="777CE3CE" w14:textId="77777777" w:rsidR="003E5FCF" w:rsidRDefault="00000000">
            <w:pPr>
              <w:keepNext/>
              <w:keepLines/>
              <w:spacing w:after="0" w:line="240" w:lineRule="auto"/>
              <w:jc w:val="right"/>
            </w:pPr>
            <w:r>
              <w:rPr>
                <w:sz w:val="18"/>
              </w:rPr>
              <w:t>0</w:t>
            </w:r>
          </w:p>
        </w:tc>
      </w:tr>
    </w:tbl>
    <w:p w14:paraId="5E1C969F" w14:textId="77777777" w:rsidR="003E5FCF" w:rsidRDefault="003E5FCF">
      <w:pPr>
        <w:spacing w:after="0"/>
      </w:pPr>
    </w:p>
    <w:p w14:paraId="09CB32B9" w14:textId="77777777" w:rsidR="003E5FCF" w:rsidRDefault="00000000">
      <w:r>
        <w:t>U izvještajnom razdoblju Dječji vrtić Slunj nije ostvario prihode po osnovi kamata na oročena sredstva i depozite po viđenju, budući da je žiro račun vrtića ugašen dana 1.1.2025. godine zbog prelaska na sustav lokalne riznice.  U prethodnoj godini po toj osnovi ostvaren je prihod u iznosu od 189,17 eura.</w:t>
      </w:r>
    </w:p>
    <w:p w14:paraId="53659855" w14:textId="77777777" w:rsidR="003E5FCF" w:rsidRDefault="003E5FCF"/>
    <w:p w14:paraId="7B91C666" w14:textId="77777777" w:rsidR="003E5FCF"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0C4B32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7528DF"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ADC98F"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1A1E8F"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1322DA"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2CC2F0"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3F3E70" w14:textId="77777777" w:rsidR="003E5FCF" w:rsidRDefault="00000000">
            <w:pPr>
              <w:keepNext/>
              <w:keepLines/>
              <w:spacing w:after="0" w:line="240" w:lineRule="auto"/>
              <w:jc w:val="center"/>
            </w:pPr>
            <w:r>
              <w:rPr>
                <w:b/>
                <w:sz w:val="18"/>
              </w:rPr>
              <w:t>Indeks (%)</w:t>
            </w:r>
          </w:p>
        </w:tc>
      </w:tr>
      <w:tr w:rsidR="003E5FCF" w14:paraId="31A1EDAA" w14:textId="77777777">
        <w:tblPrEx>
          <w:tblCellMar>
            <w:top w:w="0" w:type="dxa"/>
            <w:bottom w:w="0" w:type="dxa"/>
          </w:tblCellMar>
        </w:tblPrEx>
        <w:trPr>
          <w:cantSplit/>
          <w:trHeight w:val="560"/>
        </w:trPr>
        <w:tc>
          <w:tcPr>
            <w:tcW w:w="700" w:type="dxa"/>
            <w:tcMar>
              <w:top w:w="0" w:type="dxa"/>
              <w:bottom w:w="0" w:type="dxa"/>
            </w:tcMar>
            <w:vAlign w:val="center"/>
          </w:tcPr>
          <w:p w14:paraId="3BEE22BD" w14:textId="77777777" w:rsidR="003E5FCF" w:rsidRDefault="00000000">
            <w:pPr>
              <w:keepNext/>
              <w:keepLines/>
              <w:spacing w:after="0" w:line="240" w:lineRule="auto"/>
            </w:pPr>
            <w:r>
              <w:rPr>
                <w:sz w:val="18"/>
              </w:rPr>
              <w:t>6614</w:t>
            </w:r>
          </w:p>
        </w:tc>
        <w:tc>
          <w:tcPr>
            <w:tcW w:w="3180" w:type="dxa"/>
            <w:tcMar>
              <w:top w:w="0" w:type="dxa"/>
              <w:bottom w:w="0" w:type="dxa"/>
            </w:tcMar>
            <w:vAlign w:val="center"/>
          </w:tcPr>
          <w:p w14:paraId="39B788AC" w14:textId="77777777" w:rsidR="003E5FCF" w:rsidRDefault="00000000">
            <w:pPr>
              <w:keepNext/>
              <w:keepLines/>
              <w:spacing w:after="0" w:line="240" w:lineRule="auto"/>
            </w:pPr>
            <w:r>
              <w:rPr>
                <w:sz w:val="18"/>
              </w:rPr>
              <w:t>Prihodi od prodaje proizvoda i robe</w:t>
            </w:r>
          </w:p>
        </w:tc>
        <w:tc>
          <w:tcPr>
            <w:tcW w:w="700" w:type="dxa"/>
            <w:tcMar>
              <w:top w:w="0" w:type="dxa"/>
              <w:bottom w:w="0" w:type="dxa"/>
            </w:tcMar>
            <w:vAlign w:val="center"/>
          </w:tcPr>
          <w:p w14:paraId="51030A6C" w14:textId="77777777" w:rsidR="003E5FCF" w:rsidRDefault="00000000">
            <w:pPr>
              <w:keepNext/>
              <w:keepLines/>
              <w:spacing w:after="0" w:line="240" w:lineRule="auto"/>
            </w:pPr>
            <w:r>
              <w:rPr>
                <w:sz w:val="18"/>
              </w:rPr>
              <w:t>6614</w:t>
            </w:r>
          </w:p>
        </w:tc>
        <w:tc>
          <w:tcPr>
            <w:tcW w:w="1860" w:type="dxa"/>
            <w:tcMar>
              <w:top w:w="0" w:type="dxa"/>
              <w:bottom w:w="0" w:type="dxa"/>
            </w:tcMar>
            <w:vAlign w:val="center"/>
          </w:tcPr>
          <w:p w14:paraId="7CB3A633" w14:textId="77777777" w:rsidR="003E5FCF" w:rsidRDefault="00000000">
            <w:pPr>
              <w:keepNext/>
              <w:keepLines/>
              <w:spacing w:after="0" w:line="240" w:lineRule="auto"/>
              <w:jc w:val="right"/>
            </w:pPr>
            <w:r>
              <w:rPr>
                <w:sz w:val="18"/>
              </w:rPr>
              <w:t>0,00</w:t>
            </w:r>
          </w:p>
        </w:tc>
        <w:tc>
          <w:tcPr>
            <w:tcW w:w="1860" w:type="dxa"/>
            <w:tcMar>
              <w:top w:w="0" w:type="dxa"/>
              <w:bottom w:w="0" w:type="dxa"/>
            </w:tcMar>
            <w:vAlign w:val="center"/>
          </w:tcPr>
          <w:p w14:paraId="12FBF1FC" w14:textId="77777777" w:rsidR="003E5FCF" w:rsidRDefault="00000000">
            <w:pPr>
              <w:keepNext/>
              <w:keepLines/>
              <w:spacing w:after="0" w:line="240" w:lineRule="auto"/>
              <w:jc w:val="right"/>
            </w:pPr>
            <w:r>
              <w:rPr>
                <w:sz w:val="18"/>
              </w:rPr>
              <w:t>286,23</w:t>
            </w:r>
          </w:p>
        </w:tc>
        <w:tc>
          <w:tcPr>
            <w:tcW w:w="700" w:type="dxa"/>
            <w:tcMar>
              <w:top w:w="0" w:type="dxa"/>
              <w:bottom w:w="0" w:type="dxa"/>
            </w:tcMar>
            <w:vAlign w:val="center"/>
          </w:tcPr>
          <w:p w14:paraId="667F02F9" w14:textId="77777777" w:rsidR="003E5FCF" w:rsidRDefault="00000000">
            <w:pPr>
              <w:keepNext/>
              <w:keepLines/>
              <w:spacing w:after="0" w:line="240" w:lineRule="auto"/>
              <w:jc w:val="right"/>
            </w:pPr>
            <w:r>
              <w:rPr>
                <w:sz w:val="18"/>
              </w:rPr>
              <w:t>-</w:t>
            </w:r>
          </w:p>
        </w:tc>
      </w:tr>
    </w:tbl>
    <w:p w14:paraId="2C27591E" w14:textId="77777777" w:rsidR="003E5FCF" w:rsidRDefault="003E5FCF">
      <w:pPr>
        <w:spacing w:after="0"/>
      </w:pPr>
    </w:p>
    <w:p w14:paraId="7C929CE0" w14:textId="77777777" w:rsidR="003E5FCF" w:rsidRDefault="00000000">
      <w:r>
        <w:t>Dječji vrtić Slunj je u 2025. godini ostvario prihod od prodaje proizvoda i robe u iznosu od 286,23 EUR. Navedeni prihod ostvaren je prodajom viška proizvedene električne energije društvu HEP Opskrba d.o.o., nakon obračuna isporučene i nepreuzete električne energije za 2024. godinu. Višak električne energije nastao je kao rezultat korištenja postrojenja za samoopskrbu električnom energijom – sunčane elektrane, koju vrtić koristi od rujna 2024. godine.</w:t>
      </w:r>
    </w:p>
    <w:p w14:paraId="1F993A6F" w14:textId="77777777" w:rsidR="003E5FCF" w:rsidRDefault="003E5FCF"/>
    <w:p w14:paraId="54636DF1" w14:textId="77777777" w:rsidR="003E5FCF"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39A557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7DAA8B"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0450DE"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9F1B3B"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48452"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B5081E"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0547EE" w14:textId="77777777" w:rsidR="003E5FCF" w:rsidRDefault="00000000">
            <w:pPr>
              <w:keepNext/>
              <w:keepLines/>
              <w:spacing w:after="0" w:line="240" w:lineRule="auto"/>
              <w:jc w:val="center"/>
            </w:pPr>
            <w:r>
              <w:rPr>
                <w:b/>
                <w:sz w:val="18"/>
              </w:rPr>
              <w:t>Indeks (%)</w:t>
            </w:r>
          </w:p>
        </w:tc>
      </w:tr>
      <w:tr w:rsidR="003E5FCF" w14:paraId="4B85FFC0" w14:textId="77777777">
        <w:tblPrEx>
          <w:tblCellMar>
            <w:top w:w="0" w:type="dxa"/>
            <w:bottom w:w="0" w:type="dxa"/>
          </w:tblCellMar>
        </w:tblPrEx>
        <w:trPr>
          <w:cantSplit/>
          <w:trHeight w:val="560"/>
        </w:trPr>
        <w:tc>
          <w:tcPr>
            <w:tcW w:w="700" w:type="dxa"/>
            <w:tcMar>
              <w:top w:w="0" w:type="dxa"/>
              <w:bottom w:w="0" w:type="dxa"/>
            </w:tcMar>
            <w:vAlign w:val="center"/>
          </w:tcPr>
          <w:p w14:paraId="172A9FC6" w14:textId="77777777" w:rsidR="003E5FCF" w:rsidRDefault="00000000">
            <w:pPr>
              <w:keepNext/>
              <w:keepLines/>
              <w:spacing w:after="0" w:line="240" w:lineRule="auto"/>
            </w:pPr>
            <w:r>
              <w:rPr>
                <w:sz w:val="18"/>
              </w:rPr>
              <w:t>6631</w:t>
            </w:r>
          </w:p>
        </w:tc>
        <w:tc>
          <w:tcPr>
            <w:tcW w:w="3180" w:type="dxa"/>
            <w:tcMar>
              <w:top w:w="0" w:type="dxa"/>
              <w:bottom w:w="0" w:type="dxa"/>
            </w:tcMar>
            <w:vAlign w:val="center"/>
          </w:tcPr>
          <w:p w14:paraId="59403AC2" w14:textId="77777777" w:rsidR="003E5FCF" w:rsidRDefault="00000000">
            <w:pPr>
              <w:keepNext/>
              <w:keepLines/>
              <w:spacing w:after="0" w:line="240" w:lineRule="auto"/>
            </w:pPr>
            <w:r>
              <w:rPr>
                <w:sz w:val="18"/>
              </w:rPr>
              <w:t>Tekuće donacije</w:t>
            </w:r>
          </w:p>
        </w:tc>
        <w:tc>
          <w:tcPr>
            <w:tcW w:w="700" w:type="dxa"/>
            <w:tcMar>
              <w:top w:w="0" w:type="dxa"/>
              <w:bottom w:w="0" w:type="dxa"/>
            </w:tcMar>
            <w:vAlign w:val="center"/>
          </w:tcPr>
          <w:p w14:paraId="101AF76D" w14:textId="77777777" w:rsidR="003E5FCF" w:rsidRDefault="00000000">
            <w:pPr>
              <w:keepNext/>
              <w:keepLines/>
              <w:spacing w:after="0" w:line="240" w:lineRule="auto"/>
            </w:pPr>
            <w:r>
              <w:rPr>
                <w:sz w:val="18"/>
              </w:rPr>
              <w:t>6631</w:t>
            </w:r>
          </w:p>
        </w:tc>
        <w:tc>
          <w:tcPr>
            <w:tcW w:w="1860" w:type="dxa"/>
            <w:tcMar>
              <w:top w:w="0" w:type="dxa"/>
              <w:bottom w:w="0" w:type="dxa"/>
            </w:tcMar>
            <w:vAlign w:val="center"/>
          </w:tcPr>
          <w:p w14:paraId="7592C6FE" w14:textId="77777777" w:rsidR="003E5FCF" w:rsidRDefault="00000000">
            <w:pPr>
              <w:keepNext/>
              <w:keepLines/>
              <w:spacing w:after="0" w:line="240" w:lineRule="auto"/>
              <w:jc w:val="right"/>
            </w:pPr>
            <w:r>
              <w:rPr>
                <w:sz w:val="18"/>
              </w:rPr>
              <w:t>2.680,00</w:t>
            </w:r>
          </w:p>
        </w:tc>
        <w:tc>
          <w:tcPr>
            <w:tcW w:w="1860" w:type="dxa"/>
            <w:tcMar>
              <w:top w:w="0" w:type="dxa"/>
              <w:bottom w:w="0" w:type="dxa"/>
            </w:tcMar>
            <w:vAlign w:val="center"/>
          </w:tcPr>
          <w:p w14:paraId="1AE8F988" w14:textId="77777777" w:rsidR="003E5FCF" w:rsidRDefault="00000000">
            <w:pPr>
              <w:keepNext/>
              <w:keepLines/>
              <w:spacing w:after="0" w:line="240" w:lineRule="auto"/>
              <w:jc w:val="right"/>
            </w:pPr>
            <w:r>
              <w:rPr>
                <w:sz w:val="18"/>
              </w:rPr>
              <w:t>0,00</w:t>
            </w:r>
          </w:p>
        </w:tc>
        <w:tc>
          <w:tcPr>
            <w:tcW w:w="700" w:type="dxa"/>
            <w:tcMar>
              <w:top w:w="0" w:type="dxa"/>
              <w:bottom w:w="0" w:type="dxa"/>
            </w:tcMar>
            <w:vAlign w:val="center"/>
          </w:tcPr>
          <w:p w14:paraId="76B9A899" w14:textId="77777777" w:rsidR="003E5FCF" w:rsidRDefault="00000000">
            <w:pPr>
              <w:keepNext/>
              <w:keepLines/>
              <w:spacing w:after="0" w:line="240" w:lineRule="auto"/>
              <w:jc w:val="right"/>
            </w:pPr>
            <w:r>
              <w:rPr>
                <w:sz w:val="18"/>
              </w:rPr>
              <w:t>0</w:t>
            </w:r>
          </w:p>
        </w:tc>
      </w:tr>
    </w:tbl>
    <w:p w14:paraId="6EB1407D" w14:textId="77777777" w:rsidR="003E5FCF" w:rsidRDefault="003E5FCF">
      <w:pPr>
        <w:spacing w:after="0"/>
      </w:pPr>
    </w:p>
    <w:p w14:paraId="2103F027" w14:textId="77777777" w:rsidR="003E5FCF" w:rsidRDefault="00000000">
      <w:r>
        <w:t>U izvještajnom razdoblju vrtić nije ostvario tekuće donacije, za razliku od prethodne godine kada je po toj osnovi ostvaren prihod u iznosu od 2.680,00 eura.</w:t>
      </w:r>
    </w:p>
    <w:p w14:paraId="2F20BBA5" w14:textId="77777777" w:rsidR="003E5FCF" w:rsidRDefault="003E5FCF"/>
    <w:p w14:paraId="15CB7A9E" w14:textId="77777777" w:rsidR="003E5FCF"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6753DF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2BB26D"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68CDD3"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ACE369"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9CD8C1"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346B5C"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077D05" w14:textId="77777777" w:rsidR="003E5FCF" w:rsidRDefault="00000000">
            <w:pPr>
              <w:keepNext/>
              <w:keepLines/>
              <w:spacing w:after="0" w:line="240" w:lineRule="auto"/>
              <w:jc w:val="center"/>
            </w:pPr>
            <w:r>
              <w:rPr>
                <w:b/>
                <w:sz w:val="18"/>
              </w:rPr>
              <w:t>Indeks (%)</w:t>
            </w:r>
          </w:p>
        </w:tc>
      </w:tr>
      <w:tr w:rsidR="003E5FCF" w14:paraId="369062B7" w14:textId="77777777">
        <w:tblPrEx>
          <w:tblCellMar>
            <w:top w:w="0" w:type="dxa"/>
            <w:bottom w:w="0" w:type="dxa"/>
          </w:tblCellMar>
        </w:tblPrEx>
        <w:trPr>
          <w:cantSplit/>
          <w:trHeight w:val="560"/>
        </w:trPr>
        <w:tc>
          <w:tcPr>
            <w:tcW w:w="700" w:type="dxa"/>
            <w:tcMar>
              <w:top w:w="0" w:type="dxa"/>
              <w:bottom w:w="0" w:type="dxa"/>
            </w:tcMar>
            <w:vAlign w:val="center"/>
          </w:tcPr>
          <w:p w14:paraId="17A15623" w14:textId="77777777" w:rsidR="003E5FCF" w:rsidRDefault="00000000">
            <w:pPr>
              <w:keepNext/>
              <w:keepLines/>
              <w:spacing w:after="0" w:line="240" w:lineRule="auto"/>
            </w:pPr>
            <w:r>
              <w:rPr>
                <w:sz w:val="18"/>
              </w:rPr>
              <w:t>6711</w:t>
            </w:r>
          </w:p>
        </w:tc>
        <w:tc>
          <w:tcPr>
            <w:tcW w:w="3180" w:type="dxa"/>
            <w:tcMar>
              <w:top w:w="0" w:type="dxa"/>
              <w:bottom w:w="0" w:type="dxa"/>
            </w:tcMar>
            <w:vAlign w:val="center"/>
          </w:tcPr>
          <w:p w14:paraId="237230B8" w14:textId="77777777" w:rsidR="003E5FCF"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6EC3B891" w14:textId="77777777" w:rsidR="003E5FCF" w:rsidRDefault="00000000">
            <w:pPr>
              <w:keepNext/>
              <w:keepLines/>
              <w:spacing w:after="0" w:line="240" w:lineRule="auto"/>
            </w:pPr>
            <w:r>
              <w:rPr>
                <w:sz w:val="18"/>
              </w:rPr>
              <w:t>6711</w:t>
            </w:r>
          </w:p>
        </w:tc>
        <w:tc>
          <w:tcPr>
            <w:tcW w:w="1860" w:type="dxa"/>
            <w:tcMar>
              <w:top w:w="0" w:type="dxa"/>
              <w:bottom w:w="0" w:type="dxa"/>
            </w:tcMar>
            <w:vAlign w:val="center"/>
          </w:tcPr>
          <w:p w14:paraId="658C7594" w14:textId="77777777" w:rsidR="003E5FCF" w:rsidRDefault="00000000">
            <w:pPr>
              <w:keepNext/>
              <w:keepLines/>
              <w:spacing w:after="0" w:line="240" w:lineRule="auto"/>
              <w:jc w:val="right"/>
            </w:pPr>
            <w:r>
              <w:rPr>
                <w:sz w:val="18"/>
              </w:rPr>
              <w:t>604.588,03</w:t>
            </w:r>
          </w:p>
        </w:tc>
        <w:tc>
          <w:tcPr>
            <w:tcW w:w="1860" w:type="dxa"/>
            <w:tcMar>
              <w:top w:w="0" w:type="dxa"/>
              <w:bottom w:w="0" w:type="dxa"/>
            </w:tcMar>
            <w:vAlign w:val="center"/>
          </w:tcPr>
          <w:p w14:paraId="5887A5FA" w14:textId="77777777" w:rsidR="003E5FCF" w:rsidRDefault="00000000">
            <w:pPr>
              <w:keepNext/>
              <w:keepLines/>
              <w:spacing w:after="0" w:line="240" w:lineRule="auto"/>
              <w:jc w:val="right"/>
            </w:pPr>
            <w:r>
              <w:rPr>
                <w:sz w:val="18"/>
              </w:rPr>
              <w:t>632.219,55</w:t>
            </w:r>
          </w:p>
        </w:tc>
        <w:tc>
          <w:tcPr>
            <w:tcW w:w="700" w:type="dxa"/>
            <w:tcMar>
              <w:top w:w="0" w:type="dxa"/>
              <w:bottom w:w="0" w:type="dxa"/>
            </w:tcMar>
            <w:vAlign w:val="center"/>
          </w:tcPr>
          <w:p w14:paraId="66F74148" w14:textId="77777777" w:rsidR="003E5FCF" w:rsidRDefault="00000000">
            <w:pPr>
              <w:keepNext/>
              <w:keepLines/>
              <w:spacing w:after="0" w:line="240" w:lineRule="auto"/>
              <w:jc w:val="right"/>
            </w:pPr>
            <w:r>
              <w:rPr>
                <w:sz w:val="18"/>
              </w:rPr>
              <w:t>104,6</w:t>
            </w:r>
          </w:p>
        </w:tc>
      </w:tr>
    </w:tbl>
    <w:p w14:paraId="5C27CE1C" w14:textId="77777777" w:rsidR="003E5FCF" w:rsidRDefault="003E5FCF">
      <w:pPr>
        <w:spacing w:after="0"/>
      </w:pPr>
    </w:p>
    <w:p w14:paraId="7E1AFAE2" w14:textId="77777777" w:rsidR="003E5FCF" w:rsidRDefault="00000000">
      <w:r>
        <w:t>Prihod iz nadležnog proračuna u izvještajnom razdoblju povećan je za 4,6% u odnosu na prethodnu godinu, a razlog je rast ekonomske cijene po djetetu u svibnju 2025 godine.  Vrtić se financira na način da roditelji sufinanciraju dio ekonomske cijene usluge, dok razliku do pune ekonomske cijene pokriva osnivač iz nadležnog proračuna. Udio roditelja u ekonomskoj cijeni ostao je nepromijenjen dok je razlika povećanje ekonomske cijene teretila proračun osnivača.</w:t>
      </w:r>
    </w:p>
    <w:p w14:paraId="6C17B3D3" w14:textId="77777777" w:rsidR="003E5FCF" w:rsidRDefault="003E5FCF"/>
    <w:p w14:paraId="645A8C14" w14:textId="77777777" w:rsidR="003E5FCF"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25AEAF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BCC0CC"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3D0A4E"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C13505"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1BC839"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DD1084"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CF81AE" w14:textId="77777777" w:rsidR="003E5FCF" w:rsidRDefault="00000000">
            <w:pPr>
              <w:keepNext/>
              <w:keepLines/>
              <w:spacing w:after="0" w:line="240" w:lineRule="auto"/>
              <w:jc w:val="center"/>
            </w:pPr>
            <w:r>
              <w:rPr>
                <w:b/>
                <w:sz w:val="18"/>
              </w:rPr>
              <w:t>Indeks (%)</w:t>
            </w:r>
          </w:p>
        </w:tc>
      </w:tr>
      <w:tr w:rsidR="003E5FCF" w14:paraId="6F15973A" w14:textId="77777777">
        <w:tblPrEx>
          <w:tblCellMar>
            <w:top w:w="0" w:type="dxa"/>
            <w:bottom w:w="0" w:type="dxa"/>
          </w:tblCellMar>
        </w:tblPrEx>
        <w:trPr>
          <w:cantSplit/>
          <w:trHeight w:val="560"/>
        </w:trPr>
        <w:tc>
          <w:tcPr>
            <w:tcW w:w="700" w:type="dxa"/>
            <w:tcMar>
              <w:top w:w="0" w:type="dxa"/>
              <w:bottom w:w="0" w:type="dxa"/>
            </w:tcMar>
            <w:vAlign w:val="center"/>
          </w:tcPr>
          <w:p w14:paraId="397F54F4" w14:textId="77777777" w:rsidR="003E5FCF" w:rsidRDefault="00000000">
            <w:pPr>
              <w:keepNext/>
              <w:keepLines/>
              <w:spacing w:after="0" w:line="240" w:lineRule="auto"/>
            </w:pPr>
            <w:r>
              <w:rPr>
                <w:sz w:val="18"/>
              </w:rPr>
              <w:t>3111</w:t>
            </w:r>
          </w:p>
        </w:tc>
        <w:tc>
          <w:tcPr>
            <w:tcW w:w="3180" w:type="dxa"/>
            <w:tcMar>
              <w:top w:w="0" w:type="dxa"/>
              <w:bottom w:w="0" w:type="dxa"/>
            </w:tcMar>
            <w:vAlign w:val="center"/>
          </w:tcPr>
          <w:p w14:paraId="64EAE171" w14:textId="77777777" w:rsidR="003E5FCF" w:rsidRDefault="00000000">
            <w:pPr>
              <w:keepNext/>
              <w:keepLines/>
              <w:spacing w:after="0" w:line="240" w:lineRule="auto"/>
            </w:pPr>
            <w:r>
              <w:rPr>
                <w:sz w:val="18"/>
              </w:rPr>
              <w:t>Plaće za redovan rad</w:t>
            </w:r>
          </w:p>
        </w:tc>
        <w:tc>
          <w:tcPr>
            <w:tcW w:w="700" w:type="dxa"/>
            <w:tcMar>
              <w:top w:w="0" w:type="dxa"/>
              <w:bottom w:w="0" w:type="dxa"/>
            </w:tcMar>
            <w:vAlign w:val="center"/>
          </w:tcPr>
          <w:p w14:paraId="21D78CDC" w14:textId="77777777" w:rsidR="003E5FCF" w:rsidRDefault="00000000">
            <w:pPr>
              <w:keepNext/>
              <w:keepLines/>
              <w:spacing w:after="0" w:line="240" w:lineRule="auto"/>
            </w:pPr>
            <w:r>
              <w:rPr>
                <w:sz w:val="18"/>
              </w:rPr>
              <w:t>3111</w:t>
            </w:r>
          </w:p>
        </w:tc>
        <w:tc>
          <w:tcPr>
            <w:tcW w:w="1860" w:type="dxa"/>
            <w:tcMar>
              <w:top w:w="0" w:type="dxa"/>
              <w:bottom w:w="0" w:type="dxa"/>
            </w:tcMar>
            <w:vAlign w:val="center"/>
          </w:tcPr>
          <w:p w14:paraId="6543A179" w14:textId="77777777" w:rsidR="003E5FCF" w:rsidRDefault="00000000">
            <w:pPr>
              <w:keepNext/>
              <w:keepLines/>
              <w:spacing w:after="0" w:line="240" w:lineRule="auto"/>
              <w:jc w:val="right"/>
            </w:pPr>
            <w:r>
              <w:rPr>
                <w:sz w:val="18"/>
              </w:rPr>
              <w:t>707.488,38</w:t>
            </w:r>
          </w:p>
        </w:tc>
        <w:tc>
          <w:tcPr>
            <w:tcW w:w="1860" w:type="dxa"/>
            <w:tcMar>
              <w:top w:w="0" w:type="dxa"/>
              <w:bottom w:w="0" w:type="dxa"/>
            </w:tcMar>
            <w:vAlign w:val="center"/>
          </w:tcPr>
          <w:p w14:paraId="6E9678B8" w14:textId="77777777" w:rsidR="003E5FCF" w:rsidRDefault="00000000">
            <w:pPr>
              <w:keepNext/>
              <w:keepLines/>
              <w:spacing w:after="0" w:line="240" w:lineRule="auto"/>
              <w:jc w:val="right"/>
            </w:pPr>
            <w:r>
              <w:rPr>
                <w:sz w:val="18"/>
              </w:rPr>
              <w:t>864.661,56</w:t>
            </w:r>
          </w:p>
        </w:tc>
        <w:tc>
          <w:tcPr>
            <w:tcW w:w="700" w:type="dxa"/>
            <w:tcMar>
              <w:top w:w="0" w:type="dxa"/>
              <w:bottom w:w="0" w:type="dxa"/>
            </w:tcMar>
            <w:vAlign w:val="center"/>
          </w:tcPr>
          <w:p w14:paraId="1DA21BEA" w14:textId="77777777" w:rsidR="003E5FCF" w:rsidRDefault="00000000">
            <w:pPr>
              <w:keepNext/>
              <w:keepLines/>
              <w:spacing w:after="0" w:line="240" w:lineRule="auto"/>
              <w:jc w:val="right"/>
            </w:pPr>
            <w:r>
              <w:rPr>
                <w:sz w:val="18"/>
              </w:rPr>
              <w:t>122,2</w:t>
            </w:r>
          </w:p>
        </w:tc>
      </w:tr>
    </w:tbl>
    <w:p w14:paraId="2A578741" w14:textId="77777777" w:rsidR="003E5FCF" w:rsidRDefault="003E5FCF">
      <w:pPr>
        <w:spacing w:after="0"/>
      </w:pPr>
    </w:p>
    <w:p w14:paraId="7AEC93C3" w14:textId="77777777" w:rsidR="003E5FCF" w:rsidRDefault="00000000">
      <w:r>
        <w:t>Rashod za bruto plaće u izvještajnom razdoblju veći je u odnosu na isto razdoblje prethodne godine za 22,2%. Do navedenog povećanja došlo je zbog rasta osnovice za obračun plaće u dva navrata (u veljači 2025. godine za 3% i u rujnu 2025. godine za dodatnih 3%), zapošljavanja šest novih radnika u rujnu 2024. godine i jednog novog radnika u prosincu 2024. godine nakon završetka projekta rekonstrukcije i proširenja smještajnih kapaciteta za djecu.</w:t>
      </w:r>
    </w:p>
    <w:p w14:paraId="60EDA729" w14:textId="77777777" w:rsidR="003E5FCF" w:rsidRDefault="003E5FCF"/>
    <w:p w14:paraId="1832AB89" w14:textId="77777777" w:rsidR="003E5FCF"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02922B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EB5FDD"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C98ADB"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E0F136"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9295E9"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8DD7B2"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98AF84" w14:textId="77777777" w:rsidR="003E5FCF" w:rsidRDefault="00000000">
            <w:pPr>
              <w:keepNext/>
              <w:keepLines/>
              <w:spacing w:after="0" w:line="240" w:lineRule="auto"/>
              <w:jc w:val="center"/>
            </w:pPr>
            <w:r>
              <w:rPr>
                <w:b/>
                <w:sz w:val="18"/>
              </w:rPr>
              <w:t>Indeks (%)</w:t>
            </w:r>
          </w:p>
        </w:tc>
      </w:tr>
      <w:tr w:rsidR="003E5FCF" w14:paraId="17E45108" w14:textId="77777777">
        <w:tblPrEx>
          <w:tblCellMar>
            <w:top w:w="0" w:type="dxa"/>
            <w:bottom w:w="0" w:type="dxa"/>
          </w:tblCellMar>
        </w:tblPrEx>
        <w:trPr>
          <w:cantSplit/>
          <w:trHeight w:val="560"/>
        </w:trPr>
        <w:tc>
          <w:tcPr>
            <w:tcW w:w="700" w:type="dxa"/>
            <w:tcMar>
              <w:top w:w="0" w:type="dxa"/>
              <w:bottom w:w="0" w:type="dxa"/>
            </w:tcMar>
            <w:vAlign w:val="center"/>
          </w:tcPr>
          <w:p w14:paraId="3C95F1B7" w14:textId="77777777" w:rsidR="003E5FCF" w:rsidRDefault="00000000">
            <w:pPr>
              <w:keepNext/>
              <w:keepLines/>
              <w:spacing w:after="0" w:line="240" w:lineRule="auto"/>
            </w:pPr>
            <w:r>
              <w:rPr>
                <w:sz w:val="18"/>
              </w:rPr>
              <w:t>3113</w:t>
            </w:r>
          </w:p>
        </w:tc>
        <w:tc>
          <w:tcPr>
            <w:tcW w:w="3180" w:type="dxa"/>
            <w:tcMar>
              <w:top w:w="0" w:type="dxa"/>
              <w:bottom w:w="0" w:type="dxa"/>
            </w:tcMar>
            <w:vAlign w:val="center"/>
          </w:tcPr>
          <w:p w14:paraId="5F66C10A" w14:textId="77777777" w:rsidR="003E5FCF" w:rsidRDefault="00000000">
            <w:pPr>
              <w:keepNext/>
              <w:keepLines/>
              <w:spacing w:after="0" w:line="240" w:lineRule="auto"/>
            </w:pPr>
            <w:r>
              <w:rPr>
                <w:sz w:val="18"/>
              </w:rPr>
              <w:t>Plaće za prekovremeni rad</w:t>
            </w:r>
          </w:p>
        </w:tc>
        <w:tc>
          <w:tcPr>
            <w:tcW w:w="700" w:type="dxa"/>
            <w:tcMar>
              <w:top w:w="0" w:type="dxa"/>
              <w:bottom w:w="0" w:type="dxa"/>
            </w:tcMar>
            <w:vAlign w:val="center"/>
          </w:tcPr>
          <w:p w14:paraId="04087906" w14:textId="77777777" w:rsidR="003E5FCF" w:rsidRDefault="00000000">
            <w:pPr>
              <w:keepNext/>
              <w:keepLines/>
              <w:spacing w:after="0" w:line="240" w:lineRule="auto"/>
            </w:pPr>
            <w:r>
              <w:rPr>
                <w:sz w:val="18"/>
              </w:rPr>
              <w:t>3113</w:t>
            </w:r>
          </w:p>
        </w:tc>
        <w:tc>
          <w:tcPr>
            <w:tcW w:w="1860" w:type="dxa"/>
            <w:tcMar>
              <w:top w:w="0" w:type="dxa"/>
              <w:bottom w:w="0" w:type="dxa"/>
            </w:tcMar>
            <w:vAlign w:val="center"/>
          </w:tcPr>
          <w:p w14:paraId="54178D3B" w14:textId="77777777" w:rsidR="003E5FCF" w:rsidRDefault="00000000">
            <w:pPr>
              <w:keepNext/>
              <w:keepLines/>
              <w:spacing w:after="0" w:line="240" w:lineRule="auto"/>
              <w:jc w:val="right"/>
            </w:pPr>
            <w:r>
              <w:rPr>
                <w:sz w:val="18"/>
              </w:rPr>
              <w:t>7.366,54</w:t>
            </w:r>
          </w:p>
        </w:tc>
        <w:tc>
          <w:tcPr>
            <w:tcW w:w="1860" w:type="dxa"/>
            <w:tcMar>
              <w:top w:w="0" w:type="dxa"/>
              <w:bottom w:w="0" w:type="dxa"/>
            </w:tcMar>
            <w:vAlign w:val="center"/>
          </w:tcPr>
          <w:p w14:paraId="2691F72A" w14:textId="77777777" w:rsidR="003E5FCF" w:rsidRDefault="00000000">
            <w:pPr>
              <w:keepNext/>
              <w:keepLines/>
              <w:spacing w:after="0" w:line="240" w:lineRule="auto"/>
              <w:jc w:val="right"/>
            </w:pPr>
            <w:r>
              <w:rPr>
                <w:sz w:val="18"/>
              </w:rPr>
              <w:t>4.488,63</w:t>
            </w:r>
          </w:p>
        </w:tc>
        <w:tc>
          <w:tcPr>
            <w:tcW w:w="700" w:type="dxa"/>
            <w:tcMar>
              <w:top w:w="0" w:type="dxa"/>
              <w:bottom w:w="0" w:type="dxa"/>
            </w:tcMar>
            <w:vAlign w:val="center"/>
          </w:tcPr>
          <w:p w14:paraId="48C3BADB" w14:textId="77777777" w:rsidR="003E5FCF" w:rsidRDefault="00000000">
            <w:pPr>
              <w:keepNext/>
              <w:keepLines/>
              <w:spacing w:after="0" w:line="240" w:lineRule="auto"/>
              <w:jc w:val="right"/>
            </w:pPr>
            <w:r>
              <w:rPr>
                <w:sz w:val="18"/>
              </w:rPr>
              <w:t>60,9</w:t>
            </w:r>
          </w:p>
        </w:tc>
      </w:tr>
    </w:tbl>
    <w:p w14:paraId="2D0561D8" w14:textId="77777777" w:rsidR="003E5FCF" w:rsidRDefault="003E5FCF">
      <w:pPr>
        <w:spacing w:after="0"/>
      </w:pPr>
    </w:p>
    <w:p w14:paraId="42876F50" w14:textId="77777777" w:rsidR="003E5FCF" w:rsidRDefault="00000000">
      <w:r>
        <w:t xml:space="preserve">Rashodi za plaće po osnovi prekovremenog rada smanjeni su za 39,1% u odnosu na isto izvještajno razdoblje prethodne godine.  U prethodnoj godini potreba za prekovremenim radom proizašla je iz provedbe kraćeg programa </w:t>
      </w:r>
      <w:proofErr w:type="spellStart"/>
      <w:r>
        <w:t>predškole</w:t>
      </w:r>
      <w:proofErr w:type="spellEnd"/>
      <w:r>
        <w:t>, koji je zahtijevao dodatni angažman zaposlenika izvan redovnog radnog vremena. U tekućem izvještajnom razdoblju značajno je opao broj polaznika tog programa, što je rezultiralo smanjenjem opsega programa, a time i izostankom potrebe za prekovremenim radom.</w:t>
      </w:r>
    </w:p>
    <w:p w14:paraId="60C633B7" w14:textId="77777777" w:rsidR="003E5FCF" w:rsidRDefault="003E5FCF"/>
    <w:p w14:paraId="2EBAE3A6" w14:textId="77777777" w:rsidR="003E5FCF"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7FDE9E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BC2DEC"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3A8FAD"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A6AAA1"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ECA09B"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DA2409"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A56348" w14:textId="77777777" w:rsidR="003E5FCF" w:rsidRDefault="00000000">
            <w:pPr>
              <w:keepNext/>
              <w:keepLines/>
              <w:spacing w:after="0" w:line="240" w:lineRule="auto"/>
              <w:jc w:val="center"/>
            </w:pPr>
            <w:r>
              <w:rPr>
                <w:b/>
                <w:sz w:val="18"/>
              </w:rPr>
              <w:t>Indeks (%)</w:t>
            </w:r>
          </w:p>
        </w:tc>
      </w:tr>
      <w:tr w:rsidR="003E5FCF" w14:paraId="5705D3C1" w14:textId="77777777">
        <w:tblPrEx>
          <w:tblCellMar>
            <w:top w:w="0" w:type="dxa"/>
            <w:bottom w:w="0" w:type="dxa"/>
          </w:tblCellMar>
        </w:tblPrEx>
        <w:trPr>
          <w:cantSplit/>
          <w:trHeight w:val="560"/>
        </w:trPr>
        <w:tc>
          <w:tcPr>
            <w:tcW w:w="700" w:type="dxa"/>
            <w:tcMar>
              <w:top w:w="0" w:type="dxa"/>
              <w:bottom w:w="0" w:type="dxa"/>
            </w:tcMar>
            <w:vAlign w:val="center"/>
          </w:tcPr>
          <w:p w14:paraId="1A6B749F" w14:textId="77777777" w:rsidR="003E5FCF" w:rsidRDefault="00000000">
            <w:pPr>
              <w:keepNext/>
              <w:keepLines/>
              <w:spacing w:after="0" w:line="240" w:lineRule="auto"/>
            </w:pPr>
            <w:r>
              <w:rPr>
                <w:sz w:val="18"/>
              </w:rPr>
              <w:t>312</w:t>
            </w:r>
          </w:p>
        </w:tc>
        <w:tc>
          <w:tcPr>
            <w:tcW w:w="3180" w:type="dxa"/>
            <w:tcMar>
              <w:top w:w="0" w:type="dxa"/>
              <w:bottom w:w="0" w:type="dxa"/>
            </w:tcMar>
            <w:vAlign w:val="center"/>
          </w:tcPr>
          <w:p w14:paraId="2765B56E" w14:textId="77777777" w:rsidR="003E5FCF"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03EE033F" w14:textId="77777777" w:rsidR="003E5FCF" w:rsidRDefault="00000000">
            <w:pPr>
              <w:keepNext/>
              <w:keepLines/>
              <w:spacing w:after="0" w:line="240" w:lineRule="auto"/>
            </w:pPr>
            <w:r>
              <w:rPr>
                <w:sz w:val="18"/>
              </w:rPr>
              <w:t>312</w:t>
            </w:r>
          </w:p>
        </w:tc>
        <w:tc>
          <w:tcPr>
            <w:tcW w:w="1860" w:type="dxa"/>
            <w:tcMar>
              <w:top w:w="0" w:type="dxa"/>
              <w:bottom w:w="0" w:type="dxa"/>
            </w:tcMar>
            <w:vAlign w:val="center"/>
          </w:tcPr>
          <w:p w14:paraId="5CFF49E6" w14:textId="77777777" w:rsidR="003E5FCF" w:rsidRDefault="00000000">
            <w:pPr>
              <w:keepNext/>
              <w:keepLines/>
              <w:spacing w:after="0" w:line="240" w:lineRule="auto"/>
              <w:jc w:val="right"/>
            </w:pPr>
            <w:r>
              <w:rPr>
                <w:sz w:val="18"/>
              </w:rPr>
              <w:t>55.408,07</w:t>
            </w:r>
          </w:p>
        </w:tc>
        <w:tc>
          <w:tcPr>
            <w:tcW w:w="1860" w:type="dxa"/>
            <w:tcMar>
              <w:top w:w="0" w:type="dxa"/>
              <w:bottom w:w="0" w:type="dxa"/>
            </w:tcMar>
            <w:vAlign w:val="center"/>
          </w:tcPr>
          <w:p w14:paraId="48C2D75E" w14:textId="77777777" w:rsidR="003E5FCF" w:rsidRDefault="00000000">
            <w:pPr>
              <w:keepNext/>
              <w:keepLines/>
              <w:spacing w:after="0" w:line="240" w:lineRule="auto"/>
              <w:jc w:val="right"/>
            </w:pPr>
            <w:r>
              <w:rPr>
                <w:sz w:val="18"/>
              </w:rPr>
              <w:t>45.332,59</w:t>
            </w:r>
          </w:p>
        </w:tc>
        <w:tc>
          <w:tcPr>
            <w:tcW w:w="700" w:type="dxa"/>
            <w:tcMar>
              <w:top w:w="0" w:type="dxa"/>
              <w:bottom w:w="0" w:type="dxa"/>
            </w:tcMar>
            <w:vAlign w:val="center"/>
          </w:tcPr>
          <w:p w14:paraId="75CD10AE" w14:textId="77777777" w:rsidR="003E5FCF" w:rsidRDefault="00000000">
            <w:pPr>
              <w:keepNext/>
              <w:keepLines/>
              <w:spacing w:after="0" w:line="240" w:lineRule="auto"/>
              <w:jc w:val="right"/>
            </w:pPr>
            <w:r>
              <w:rPr>
                <w:sz w:val="18"/>
              </w:rPr>
              <w:t>81,8</w:t>
            </w:r>
          </w:p>
        </w:tc>
      </w:tr>
    </w:tbl>
    <w:p w14:paraId="1599665D" w14:textId="77777777" w:rsidR="003E5FCF" w:rsidRDefault="003E5FCF">
      <w:pPr>
        <w:spacing w:after="0"/>
      </w:pPr>
    </w:p>
    <w:p w14:paraId="38F8A9B2" w14:textId="77777777" w:rsidR="003E5FCF" w:rsidRDefault="00000000">
      <w:r>
        <w:t>Ostali rashodi za zaposlene smanjeni su u odnosu na prethodnu godinu zbog usklađivanja Pravilnika o radu Dječjeg vrtića Slunj s odredbama Kolektivnog ugovora koji se primjenjuje na zaposlene u osnovnim školama. Novi Pravilnik o radu donesen je 2. srpnja 2024. godine. Navedeno usklađivanje rezultiralo je gubitkom prava radnika na naknadu za prehranu, koja se u prethodnoj godini isplaćivala do lipnja 2024. godine. Od srpnja 2024. godine navedeni trošak više ne postoji, zbog čega u 2025. godini nema rashoda po toj osnovi.</w:t>
      </w:r>
    </w:p>
    <w:p w14:paraId="3692D613" w14:textId="77777777" w:rsidR="003E5FCF" w:rsidRDefault="003E5FCF"/>
    <w:p w14:paraId="3A2B6A86" w14:textId="77777777" w:rsidR="003E5FCF"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7E35FE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A2656E"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1A0321"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F6DE7C"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C1F830"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5B2BAC"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A71DFB" w14:textId="77777777" w:rsidR="003E5FCF" w:rsidRDefault="00000000">
            <w:pPr>
              <w:keepNext/>
              <w:keepLines/>
              <w:spacing w:after="0" w:line="240" w:lineRule="auto"/>
              <w:jc w:val="center"/>
            </w:pPr>
            <w:r>
              <w:rPr>
                <w:b/>
                <w:sz w:val="18"/>
              </w:rPr>
              <w:t>Indeks (%)</w:t>
            </w:r>
          </w:p>
        </w:tc>
      </w:tr>
      <w:tr w:rsidR="003E5FCF" w14:paraId="6FAC1F5F" w14:textId="77777777">
        <w:tblPrEx>
          <w:tblCellMar>
            <w:top w:w="0" w:type="dxa"/>
            <w:bottom w:w="0" w:type="dxa"/>
          </w:tblCellMar>
        </w:tblPrEx>
        <w:trPr>
          <w:cantSplit/>
          <w:trHeight w:val="560"/>
        </w:trPr>
        <w:tc>
          <w:tcPr>
            <w:tcW w:w="700" w:type="dxa"/>
            <w:tcMar>
              <w:top w:w="0" w:type="dxa"/>
              <w:bottom w:w="0" w:type="dxa"/>
            </w:tcMar>
            <w:vAlign w:val="center"/>
          </w:tcPr>
          <w:p w14:paraId="786C7AB2" w14:textId="77777777" w:rsidR="003E5FCF" w:rsidRDefault="00000000">
            <w:pPr>
              <w:keepNext/>
              <w:keepLines/>
              <w:spacing w:after="0" w:line="240" w:lineRule="auto"/>
            </w:pPr>
            <w:r>
              <w:rPr>
                <w:sz w:val="18"/>
              </w:rPr>
              <w:t>3132</w:t>
            </w:r>
          </w:p>
        </w:tc>
        <w:tc>
          <w:tcPr>
            <w:tcW w:w="3180" w:type="dxa"/>
            <w:tcMar>
              <w:top w:w="0" w:type="dxa"/>
              <w:bottom w:w="0" w:type="dxa"/>
            </w:tcMar>
            <w:vAlign w:val="center"/>
          </w:tcPr>
          <w:p w14:paraId="74ABE5FD" w14:textId="77777777" w:rsidR="003E5FCF"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01A30756" w14:textId="77777777" w:rsidR="003E5FCF" w:rsidRDefault="00000000">
            <w:pPr>
              <w:keepNext/>
              <w:keepLines/>
              <w:spacing w:after="0" w:line="240" w:lineRule="auto"/>
            </w:pPr>
            <w:r>
              <w:rPr>
                <w:sz w:val="18"/>
              </w:rPr>
              <w:t>3132</w:t>
            </w:r>
          </w:p>
        </w:tc>
        <w:tc>
          <w:tcPr>
            <w:tcW w:w="1860" w:type="dxa"/>
            <w:tcMar>
              <w:top w:w="0" w:type="dxa"/>
              <w:bottom w:w="0" w:type="dxa"/>
            </w:tcMar>
            <w:vAlign w:val="center"/>
          </w:tcPr>
          <w:p w14:paraId="665D1B6C" w14:textId="77777777" w:rsidR="003E5FCF" w:rsidRDefault="00000000">
            <w:pPr>
              <w:keepNext/>
              <w:keepLines/>
              <w:spacing w:after="0" w:line="240" w:lineRule="auto"/>
              <w:jc w:val="right"/>
            </w:pPr>
            <w:r>
              <w:rPr>
                <w:sz w:val="18"/>
              </w:rPr>
              <w:t>101.148,38</w:t>
            </w:r>
          </w:p>
        </w:tc>
        <w:tc>
          <w:tcPr>
            <w:tcW w:w="1860" w:type="dxa"/>
            <w:tcMar>
              <w:top w:w="0" w:type="dxa"/>
              <w:bottom w:w="0" w:type="dxa"/>
            </w:tcMar>
            <w:vAlign w:val="center"/>
          </w:tcPr>
          <w:p w14:paraId="1CF1EC62" w14:textId="77777777" w:rsidR="003E5FCF" w:rsidRDefault="00000000">
            <w:pPr>
              <w:keepNext/>
              <w:keepLines/>
              <w:spacing w:after="0" w:line="240" w:lineRule="auto"/>
              <w:jc w:val="right"/>
            </w:pPr>
            <w:r>
              <w:rPr>
                <w:sz w:val="18"/>
              </w:rPr>
              <w:t>127.819,31</w:t>
            </w:r>
          </w:p>
        </w:tc>
        <w:tc>
          <w:tcPr>
            <w:tcW w:w="700" w:type="dxa"/>
            <w:tcMar>
              <w:top w:w="0" w:type="dxa"/>
              <w:bottom w:w="0" w:type="dxa"/>
            </w:tcMar>
            <w:vAlign w:val="center"/>
          </w:tcPr>
          <w:p w14:paraId="08062AFF" w14:textId="77777777" w:rsidR="003E5FCF" w:rsidRDefault="00000000">
            <w:pPr>
              <w:keepNext/>
              <w:keepLines/>
              <w:spacing w:after="0" w:line="240" w:lineRule="auto"/>
              <w:jc w:val="right"/>
            </w:pPr>
            <w:r>
              <w:rPr>
                <w:sz w:val="18"/>
              </w:rPr>
              <w:t>126,4</w:t>
            </w:r>
          </w:p>
        </w:tc>
      </w:tr>
    </w:tbl>
    <w:p w14:paraId="393C7C31" w14:textId="77777777" w:rsidR="003E5FCF" w:rsidRDefault="003E5FCF">
      <w:pPr>
        <w:spacing w:after="0"/>
      </w:pPr>
    </w:p>
    <w:p w14:paraId="6075473B" w14:textId="77777777" w:rsidR="003E5FCF" w:rsidRDefault="00000000">
      <w:r>
        <w:t>Rashodi za doprinos za obvezno zdravstveno osiguranje povećani su u odnosu na isto razdoblje prethodne godine zbog rasta osnovice za obračun plaće u dva navrata (u veljači 2025. godine za 3% i u rujnu 2025. godine za dodatnih 3%), zapošljavanja šest novih radnika u rujnu 2024. godine i jednog novog radnika u prosincu 2024. godine nakon završetka projekta rekonstrukcije i proširenja kapaciteta vrtića.</w:t>
      </w:r>
    </w:p>
    <w:p w14:paraId="0E3A7DB3" w14:textId="77777777" w:rsidR="003E5FCF" w:rsidRDefault="003E5FCF"/>
    <w:p w14:paraId="74F4F8A4" w14:textId="77777777" w:rsidR="003E5FCF"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1A16B5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F3A9C1"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C44CD2"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C3E9EE"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240E8"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B0B80E"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91DEA1" w14:textId="77777777" w:rsidR="003E5FCF" w:rsidRDefault="00000000">
            <w:pPr>
              <w:keepNext/>
              <w:keepLines/>
              <w:spacing w:after="0" w:line="240" w:lineRule="auto"/>
              <w:jc w:val="center"/>
            </w:pPr>
            <w:r>
              <w:rPr>
                <w:b/>
                <w:sz w:val="18"/>
              </w:rPr>
              <w:t>Indeks (%)</w:t>
            </w:r>
          </w:p>
        </w:tc>
      </w:tr>
      <w:tr w:rsidR="003E5FCF" w14:paraId="113E390C" w14:textId="77777777">
        <w:tblPrEx>
          <w:tblCellMar>
            <w:top w:w="0" w:type="dxa"/>
            <w:bottom w:w="0" w:type="dxa"/>
          </w:tblCellMar>
        </w:tblPrEx>
        <w:trPr>
          <w:cantSplit/>
          <w:trHeight w:val="560"/>
        </w:trPr>
        <w:tc>
          <w:tcPr>
            <w:tcW w:w="700" w:type="dxa"/>
            <w:tcMar>
              <w:top w:w="0" w:type="dxa"/>
              <w:bottom w:w="0" w:type="dxa"/>
            </w:tcMar>
            <w:vAlign w:val="center"/>
          </w:tcPr>
          <w:p w14:paraId="744D6304" w14:textId="77777777" w:rsidR="003E5FCF" w:rsidRDefault="00000000">
            <w:pPr>
              <w:keepNext/>
              <w:keepLines/>
              <w:spacing w:after="0" w:line="240" w:lineRule="auto"/>
            </w:pPr>
            <w:r>
              <w:rPr>
                <w:sz w:val="18"/>
              </w:rPr>
              <w:t>3212</w:t>
            </w:r>
          </w:p>
        </w:tc>
        <w:tc>
          <w:tcPr>
            <w:tcW w:w="3180" w:type="dxa"/>
            <w:tcMar>
              <w:top w:w="0" w:type="dxa"/>
              <w:bottom w:w="0" w:type="dxa"/>
            </w:tcMar>
            <w:vAlign w:val="center"/>
          </w:tcPr>
          <w:p w14:paraId="57DC7335" w14:textId="77777777" w:rsidR="003E5FCF"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3F3CA1AE" w14:textId="77777777" w:rsidR="003E5FCF" w:rsidRDefault="00000000">
            <w:pPr>
              <w:keepNext/>
              <w:keepLines/>
              <w:spacing w:after="0" w:line="240" w:lineRule="auto"/>
            </w:pPr>
            <w:r>
              <w:rPr>
                <w:sz w:val="18"/>
              </w:rPr>
              <w:t>3212</w:t>
            </w:r>
          </w:p>
        </w:tc>
        <w:tc>
          <w:tcPr>
            <w:tcW w:w="1860" w:type="dxa"/>
            <w:tcMar>
              <w:top w:w="0" w:type="dxa"/>
              <w:bottom w:w="0" w:type="dxa"/>
            </w:tcMar>
            <w:vAlign w:val="center"/>
          </w:tcPr>
          <w:p w14:paraId="1413597E" w14:textId="77777777" w:rsidR="003E5FCF" w:rsidRDefault="00000000">
            <w:pPr>
              <w:keepNext/>
              <w:keepLines/>
              <w:spacing w:after="0" w:line="240" w:lineRule="auto"/>
              <w:jc w:val="right"/>
            </w:pPr>
            <w:r>
              <w:rPr>
                <w:sz w:val="18"/>
              </w:rPr>
              <w:t>30.730,36</w:t>
            </w:r>
          </w:p>
        </w:tc>
        <w:tc>
          <w:tcPr>
            <w:tcW w:w="1860" w:type="dxa"/>
            <w:tcMar>
              <w:top w:w="0" w:type="dxa"/>
              <w:bottom w:w="0" w:type="dxa"/>
            </w:tcMar>
            <w:vAlign w:val="center"/>
          </w:tcPr>
          <w:p w14:paraId="455D02FA" w14:textId="77777777" w:rsidR="003E5FCF" w:rsidRDefault="00000000">
            <w:pPr>
              <w:keepNext/>
              <w:keepLines/>
              <w:spacing w:after="0" w:line="240" w:lineRule="auto"/>
              <w:jc w:val="right"/>
            </w:pPr>
            <w:r>
              <w:rPr>
                <w:sz w:val="18"/>
              </w:rPr>
              <w:t>20.612,66</w:t>
            </w:r>
          </w:p>
        </w:tc>
        <w:tc>
          <w:tcPr>
            <w:tcW w:w="700" w:type="dxa"/>
            <w:tcMar>
              <w:top w:w="0" w:type="dxa"/>
              <w:bottom w:w="0" w:type="dxa"/>
            </w:tcMar>
            <w:vAlign w:val="center"/>
          </w:tcPr>
          <w:p w14:paraId="1C48003F" w14:textId="77777777" w:rsidR="003E5FCF" w:rsidRDefault="00000000">
            <w:pPr>
              <w:keepNext/>
              <w:keepLines/>
              <w:spacing w:after="0" w:line="240" w:lineRule="auto"/>
              <w:jc w:val="right"/>
            </w:pPr>
            <w:r>
              <w:rPr>
                <w:sz w:val="18"/>
              </w:rPr>
              <w:t>67,1</w:t>
            </w:r>
          </w:p>
        </w:tc>
      </w:tr>
    </w:tbl>
    <w:p w14:paraId="1B1F31C4" w14:textId="77777777" w:rsidR="003E5FCF" w:rsidRDefault="003E5FCF">
      <w:pPr>
        <w:spacing w:after="0"/>
      </w:pPr>
    </w:p>
    <w:p w14:paraId="16C4ECB8" w14:textId="77777777" w:rsidR="003E5FCF" w:rsidRDefault="00000000">
      <w:r>
        <w:t>Naknade za prijevoz na posao i s posla smanjene su u odnosu na isto izvještajno razdoblje prethodne godine.  Razlog smanjenja je usklađivanje Pravilnika o radu Dječjeg vrtića Slunj s odredbama Kolektivnog ugovora koji se primjenjuje na zaposlene u osnovnim školama. Novi Pravilnik o radu donesen je 2. srpnja 2024. godine.  Primjenom novog Pravilnika, neki zaposlenici izgubili su pravo na naknadu za prijevoz, dok je većini zaposlenika iznos naknade smanjen u odnosu na prethodni period.</w:t>
      </w:r>
    </w:p>
    <w:p w14:paraId="1BBA1162" w14:textId="77777777" w:rsidR="003E5FCF" w:rsidRDefault="003E5FCF"/>
    <w:p w14:paraId="4C399B77" w14:textId="77777777" w:rsidR="003E5FCF"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1BB441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0E0D47"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204FF6"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A84ACF"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4ADB1D"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C4C160"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3B518C" w14:textId="77777777" w:rsidR="003E5FCF" w:rsidRDefault="00000000">
            <w:pPr>
              <w:keepNext/>
              <w:keepLines/>
              <w:spacing w:after="0" w:line="240" w:lineRule="auto"/>
              <w:jc w:val="center"/>
            </w:pPr>
            <w:r>
              <w:rPr>
                <w:b/>
                <w:sz w:val="18"/>
              </w:rPr>
              <w:t>Indeks (%)</w:t>
            </w:r>
          </w:p>
        </w:tc>
      </w:tr>
      <w:tr w:rsidR="003E5FCF" w14:paraId="08C577CB" w14:textId="77777777">
        <w:tblPrEx>
          <w:tblCellMar>
            <w:top w:w="0" w:type="dxa"/>
            <w:bottom w:w="0" w:type="dxa"/>
          </w:tblCellMar>
        </w:tblPrEx>
        <w:trPr>
          <w:cantSplit/>
          <w:trHeight w:val="560"/>
        </w:trPr>
        <w:tc>
          <w:tcPr>
            <w:tcW w:w="700" w:type="dxa"/>
            <w:tcMar>
              <w:top w:w="0" w:type="dxa"/>
              <w:bottom w:w="0" w:type="dxa"/>
            </w:tcMar>
            <w:vAlign w:val="center"/>
          </w:tcPr>
          <w:p w14:paraId="6D380279" w14:textId="77777777" w:rsidR="003E5FCF" w:rsidRDefault="00000000">
            <w:pPr>
              <w:keepNext/>
              <w:keepLines/>
              <w:spacing w:after="0" w:line="240" w:lineRule="auto"/>
            </w:pPr>
            <w:r>
              <w:rPr>
                <w:sz w:val="18"/>
              </w:rPr>
              <w:t>3222</w:t>
            </w:r>
          </w:p>
        </w:tc>
        <w:tc>
          <w:tcPr>
            <w:tcW w:w="3180" w:type="dxa"/>
            <w:tcMar>
              <w:top w:w="0" w:type="dxa"/>
              <w:bottom w:w="0" w:type="dxa"/>
            </w:tcMar>
            <w:vAlign w:val="center"/>
          </w:tcPr>
          <w:p w14:paraId="18C3CE13" w14:textId="77777777" w:rsidR="003E5FCF" w:rsidRDefault="00000000">
            <w:pPr>
              <w:keepNext/>
              <w:keepLines/>
              <w:spacing w:after="0" w:line="240" w:lineRule="auto"/>
            </w:pPr>
            <w:r>
              <w:rPr>
                <w:sz w:val="18"/>
              </w:rPr>
              <w:t>Materijal i sirovine</w:t>
            </w:r>
          </w:p>
        </w:tc>
        <w:tc>
          <w:tcPr>
            <w:tcW w:w="700" w:type="dxa"/>
            <w:tcMar>
              <w:top w:w="0" w:type="dxa"/>
              <w:bottom w:w="0" w:type="dxa"/>
            </w:tcMar>
            <w:vAlign w:val="center"/>
          </w:tcPr>
          <w:p w14:paraId="2AC57AF5" w14:textId="77777777" w:rsidR="003E5FCF" w:rsidRDefault="00000000">
            <w:pPr>
              <w:keepNext/>
              <w:keepLines/>
              <w:spacing w:after="0" w:line="240" w:lineRule="auto"/>
            </w:pPr>
            <w:r>
              <w:rPr>
                <w:sz w:val="18"/>
              </w:rPr>
              <w:t>3222</w:t>
            </w:r>
          </w:p>
        </w:tc>
        <w:tc>
          <w:tcPr>
            <w:tcW w:w="1860" w:type="dxa"/>
            <w:tcMar>
              <w:top w:w="0" w:type="dxa"/>
              <w:bottom w:w="0" w:type="dxa"/>
            </w:tcMar>
            <w:vAlign w:val="center"/>
          </w:tcPr>
          <w:p w14:paraId="750ACA7D" w14:textId="77777777" w:rsidR="003E5FCF" w:rsidRDefault="00000000">
            <w:pPr>
              <w:keepNext/>
              <w:keepLines/>
              <w:spacing w:after="0" w:line="240" w:lineRule="auto"/>
              <w:jc w:val="right"/>
            </w:pPr>
            <w:r>
              <w:rPr>
                <w:sz w:val="18"/>
              </w:rPr>
              <w:t>70.412,78</w:t>
            </w:r>
          </w:p>
        </w:tc>
        <w:tc>
          <w:tcPr>
            <w:tcW w:w="1860" w:type="dxa"/>
            <w:tcMar>
              <w:top w:w="0" w:type="dxa"/>
              <w:bottom w:w="0" w:type="dxa"/>
            </w:tcMar>
            <w:vAlign w:val="center"/>
          </w:tcPr>
          <w:p w14:paraId="3A07142C" w14:textId="77777777" w:rsidR="003E5FCF" w:rsidRDefault="00000000">
            <w:pPr>
              <w:keepNext/>
              <w:keepLines/>
              <w:spacing w:after="0" w:line="240" w:lineRule="auto"/>
              <w:jc w:val="right"/>
            </w:pPr>
            <w:r>
              <w:rPr>
                <w:sz w:val="18"/>
              </w:rPr>
              <w:t>85.904,27</w:t>
            </w:r>
          </w:p>
        </w:tc>
        <w:tc>
          <w:tcPr>
            <w:tcW w:w="700" w:type="dxa"/>
            <w:tcMar>
              <w:top w:w="0" w:type="dxa"/>
              <w:bottom w:w="0" w:type="dxa"/>
            </w:tcMar>
            <w:vAlign w:val="center"/>
          </w:tcPr>
          <w:p w14:paraId="3C9DB214" w14:textId="77777777" w:rsidR="003E5FCF" w:rsidRDefault="00000000">
            <w:pPr>
              <w:keepNext/>
              <w:keepLines/>
              <w:spacing w:after="0" w:line="240" w:lineRule="auto"/>
              <w:jc w:val="right"/>
            </w:pPr>
            <w:r>
              <w:rPr>
                <w:sz w:val="18"/>
              </w:rPr>
              <w:t>122,0</w:t>
            </w:r>
          </w:p>
        </w:tc>
      </w:tr>
    </w:tbl>
    <w:p w14:paraId="1A916803" w14:textId="77777777" w:rsidR="003E5FCF" w:rsidRDefault="003E5FCF">
      <w:pPr>
        <w:spacing w:after="0"/>
      </w:pPr>
    </w:p>
    <w:p w14:paraId="574FF695" w14:textId="77777777" w:rsidR="003E5FCF" w:rsidRDefault="00000000">
      <w:r>
        <w:t>Rashodi za materijal i sirovine  u izvještajnom razdoblju porasli su u odnosu na prethodnu godinu. Rashodi se odnose na namirnice kojima se osiguravaju nutritivno bogati i uravnoteženi obroci djeci.  Povećanje rashoda uglavnom je posljedica rasta cijena prehrambenih proizvoda na tržištu, što je globalni trend koji je utjecao na povećanje nabavnih troškova. Dodatno, promjene u prehrambenim standardima i povećani broj korisnika također su doprinijeli većim rashodima.</w:t>
      </w:r>
    </w:p>
    <w:p w14:paraId="31B39483" w14:textId="77777777" w:rsidR="003E5FCF" w:rsidRDefault="003E5FCF"/>
    <w:p w14:paraId="51552C06" w14:textId="77777777" w:rsidR="003E5FCF"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38A560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86B221"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6C6E90"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DA443C"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7874F0"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2AC513"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D731FB" w14:textId="77777777" w:rsidR="003E5FCF" w:rsidRDefault="00000000">
            <w:pPr>
              <w:keepNext/>
              <w:keepLines/>
              <w:spacing w:after="0" w:line="240" w:lineRule="auto"/>
              <w:jc w:val="center"/>
            </w:pPr>
            <w:r>
              <w:rPr>
                <w:b/>
                <w:sz w:val="18"/>
              </w:rPr>
              <w:t>Indeks (%)</w:t>
            </w:r>
          </w:p>
        </w:tc>
      </w:tr>
      <w:tr w:rsidR="003E5FCF" w14:paraId="48B6B0FC" w14:textId="77777777">
        <w:tblPrEx>
          <w:tblCellMar>
            <w:top w:w="0" w:type="dxa"/>
            <w:bottom w:w="0" w:type="dxa"/>
          </w:tblCellMar>
        </w:tblPrEx>
        <w:trPr>
          <w:cantSplit/>
          <w:trHeight w:val="560"/>
        </w:trPr>
        <w:tc>
          <w:tcPr>
            <w:tcW w:w="700" w:type="dxa"/>
            <w:tcMar>
              <w:top w:w="0" w:type="dxa"/>
              <w:bottom w:w="0" w:type="dxa"/>
            </w:tcMar>
            <w:vAlign w:val="center"/>
          </w:tcPr>
          <w:p w14:paraId="3B6DFB0B" w14:textId="77777777" w:rsidR="003E5FCF" w:rsidRDefault="00000000">
            <w:pPr>
              <w:keepNext/>
              <w:keepLines/>
              <w:spacing w:after="0" w:line="240" w:lineRule="auto"/>
            </w:pPr>
            <w:r>
              <w:rPr>
                <w:sz w:val="18"/>
              </w:rPr>
              <w:t>3223</w:t>
            </w:r>
          </w:p>
        </w:tc>
        <w:tc>
          <w:tcPr>
            <w:tcW w:w="3180" w:type="dxa"/>
            <w:tcMar>
              <w:top w:w="0" w:type="dxa"/>
              <w:bottom w:w="0" w:type="dxa"/>
            </w:tcMar>
            <w:vAlign w:val="center"/>
          </w:tcPr>
          <w:p w14:paraId="05449E21" w14:textId="77777777" w:rsidR="003E5FCF" w:rsidRDefault="00000000">
            <w:pPr>
              <w:keepNext/>
              <w:keepLines/>
              <w:spacing w:after="0" w:line="240" w:lineRule="auto"/>
            </w:pPr>
            <w:r>
              <w:rPr>
                <w:sz w:val="18"/>
              </w:rPr>
              <w:t>Energija</w:t>
            </w:r>
          </w:p>
        </w:tc>
        <w:tc>
          <w:tcPr>
            <w:tcW w:w="700" w:type="dxa"/>
            <w:tcMar>
              <w:top w:w="0" w:type="dxa"/>
              <w:bottom w:w="0" w:type="dxa"/>
            </w:tcMar>
            <w:vAlign w:val="center"/>
          </w:tcPr>
          <w:p w14:paraId="34731641" w14:textId="77777777" w:rsidR="003E5FCF" w:rsidRDefault="00000000">
            <w:pPr>
              <w:keepNext/>
              <w:keepLines/>
              <w:spacing w:after="0" w:line="240" w:lineRule="auto"/>
            </w:pPr>
            <w:r>
              <w:rPr>
                <w:sz w:val="18"/>
              </w:rPr>
              <w:t>3223</w:t>
            </w:r>
          </w:p>
        </w:tc>
        <w:tc>
          <w:tcPr>
            <w:tcW w:w="1860" w:type="dxa"/>
            <w:tcMar>
              <w:top w:w="0" w:type="dxa"/>
              <w:bottom w:w="0" w:type="dxa"/>
            </w:tcMar>
            <w:vAlign w:val="center"/>
          </w:tcPr>
          <w:p w14:paraId="3E299348" w14:textId="77777777" w:rsidR="003E5FCF" w:rsidRDefault="00000000">
            <w:pPr>
              <w:keepNext/>
              <w:keepLines/>
              <w:spacing w:after="0" w:line="240" w:lineRule="auto"/>
              <w:jc w:val="right"/>
            </w:pPr>
            <w:r>
              <w:rPr>
                <w:sz w:val="18"/>
              </w:rPr>
              <w:t>22.990,87</w:t>
            </w:r>
          </w:p>
        </w:tc>
        <w:tc>
          <w:tcPr>
            <w:tcW w:w="1860" w:type="dxa"/>
            <w:tcMar>
              <w:top w:w="0" w:type="dxa"/>
              <w:bottom w:w="0" w:type="dxa"/>
            </w:tcMar>
            <w:vAlign w:val="center"/>
          </w:tcPr>
          <w:p w14:paraId="5C03F890" w14:textId="77777777" w:rsidR="003E5FCF" w:rsidRDefault="00000000">
            <w:pPr>
              <w:keepNext/>
              <w:keepLines/>
              <w:spacing w:after="0" w:line="240" w:lineRule="auto"/>
              <w:jc w:val="right"/>
            </w:pPr>
            <w:r>
              <w:rPr>
                <w:sz w:val="18"/>
              </w:rPr>
              <w:t>20.990,96</w:t>
            </w:r>
          </w:p>
        </w:tc>
        <w:tc>
          <w:tcPr>
            <w:tcW w:w="700" w:type="dxa"/>
            <w:tcMar>
              <w:top w:w="0" w:type="dxa"/>
              <w:bottom w:w="0" w:type="dxa"/>
            </w:tcMar>
            <w:vAlign w:val="center"/>
          </w:tcPr>
          <w:p w14:paraId="1F638A20" w14:textId="77777777" w:rsidR="003E5FCF" w:rsidRDefault="00000000">
            <w:pPr>
              <w:keepNext/>
              <w:keepLines/>
              <w:spacing w:after="0" w:line="240" w:lineRule="auto"/>
              <w:jc w:val="right"/>
            </w:pPr>
            <w:r>
              <w:rPr>
                <w:sz w:val="18"/>
              </w:rPr>
              <w:t>91,3</w:t>
            </w:r>
          </w:p>
        </w:tc>
      </w:tr>
    </w:tbl>
    <w:p w14:paraId="23B098B4" w14:textId="77777777" w:rsidR="003E5FCF" w:rsidRDefault="003E5FCF">
      <w:pPr>
        <w:spacing w:after="0"/>
      </w:pPr>
    </w:p>
    <w:p w14:paraId="48DEED1C" w14:textId="77777777" w:rsidR="003E5FCF" w:rsidRDefault="00000000">
      <w:r>
        <w:t>Iako je vrtić proširen i nadograđen u 2024. godini, u izvještajnom razdoblju ostvarena je ušteda na troškovima energije, posebice na troškovima loživog ulja, u odnosu na prethodnu godinu.  Ušteda je rezultat uvođenja postrojenja za samoopskrbu električnom energijom (sunčana elektrana) i korištenja dizalice topline. Tijekom dijela godine grijanje se ostvaruje električnom energijom proizvedenom vlastitom elektranom, čime se smanjuje potreba za korištenjem loživog ulja.</w:t>
      </w:r>
    </w:p>
    <w:p w14:paraId="2B3B1C19" w14:textId="77777777" w:rsidR="003E5FCF" w:rsidRDefault="003E5FCF"/>
    <w:p w14:paraId="15B1A528" w14:textId="77777777" w:rsidR="003E5FCF"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145ABB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199A3D"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3F0489"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9D9E3D"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CC52EB"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95D189"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944CFF" w14:textId="77777777" w:rsidR="003E5FCF" w:rsidRDefault="00000000">
            <w:pPr>
              <w:keepNext/>
              <w:keepLines/>
              <w:spacing w:after="0" w:line="240" w:lineRule="auto"/>
              <w:jc w:val="center"/>
            </w:pPr>
            <w:r>
              <w:rPr>
                <w:b/>
                <w:sz w:val="18"/>
              </w:rPr>
              <w:t>Indeks (%)</w:t>
            </w:r>
          </w:p>
        </w:tc>
      </w:tr>
      <w:tr w:rsidR="003E5FCF" w14:paraId="51179C34" w14:textId="77777777">
        <w:tblPrEx>
          <w:tblCellMar>
            <w:top w:w="0" w:type="dxa"/>
            <w:bottom w:w="0" w:type="dxa"/>
          </w:tblCellMar>
        </w:tblPrEx>
        <w:trPr>
          <w:cantSplit/>
          <w:trHeight w:val="560"/>
        </w:trPr>
        <w:tc>
          <w:tcPr>
            <w:tcW w:w="700" w:type="dxa"/>
            <w:tcMar>
              <w:top w:w="0" w:type="dxa"/>
              <w:bottom w:w="0" w:type="dxa"/>
            </w:tcMar>
            <w:vAlign w:val="center"/>
          </w:tcPr>
          <w:p w14:paraId="77C81CC5" w14:textId="77777777" w:rsidR="003E5FCF" w:rsidRDefault="00000000">
            <w:pPr>
              <w:keepNext/>
              <w:keepLines/>
              <w:spacing w:after="0" w:line="240" w:lineRule="auto"/>
            </w:pPr>
            <w:r>
              <w:rPr>
                <w:sz w:val="18"/>
              </w:rPr>
              <w:t>3224</w:t>
            </w:r>
          </w:p>
        </w:tc>
        <w:tc>
          <w:tcPr>
            <w:tcW w:w="3180" w:type="dxa"/>
            <w:tcMar>
              <w:top w:w="0" w:type="dxa"/>
              <w:bottom w:w="0" w:type="dxa"/>
            </w:tcMar>
            <w:vAlign w:val="center"/>
          </w:tcPr>
          <w:p w14:paraId="5304B357" w14:textId="77777777" w:rsidR="003E5FCF"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76610185" w14:textId="77777777" w:rsidR="003E5FCF" w:rsidRDefault="00000000">
            <w:pPr>
              <w:keepNext/>
              <w:keepLines/>
              <w:spacing w:after="0" w:line="240" w:lineRule="auto"/>
            </w:pPr>
            <w:r>
              <w:rPr>
                <w:sz w:val="18"/>
              </w:rPr>
              <w:t>3224</w:t>
            </w:r>
          </w:p>
        </w:tc>
        <w:tc>
          <w:tcPr>
            <w:tcW w:w="1860" w:type="dxa"/>
            <w:tcMar>
              <w:top w:w="0" w:type="dxa"/>
              <w:bottom w:w="0" w:type="dxa"/>
            </w:tcMar>
            <w:vAlign w:val="center"/>
          </w:tcPr>
          <w:p w14:paraId="02844142" w14:textId="77777777" w:rsidR="003E5FCF" w:rsidRDefault="00000000">
            <w:pPr>
              <w:keepNext/>
              <w:keepLines/>
              <w:spacing w:after="0" w:line="240" w:lineRule="auto"/>
              <w:jc w:val="right"/>
            </w:pPr>
            <w:r>
              <w:rPr>
                <w:sz w:val="18"/>
              </w:rPr>
              <w:t>2.922,27</w:t>
            </w:r>
          </w:p>
        </w:tc>
        <w:tc>
          <w:tcPr>
            <w:tcW w:w="1860" w:type="dxa"/>
            <w:tcMar>
              <w:top w:w="0" w:type="dxa"/>
              <w:bottom w:w="0" w:type="dxa"/>
            </w:tcMar>
            <w:vAlign w:val="center"/>
          </w:tcPr>
          <w:p w14:paraId="26C830DC" w14:textId="77777777" w:rsidR="003E5FCF" w:rsidRDefault="00000000">
            <w:pPr>
              <w:keepNext/>
              <w:keepLines/>
              <w:spacing w:after="0" w:line="240" w:lineRule="auto"/>
              <w:jc w:val="right"/>
            </w:pPr>
            <w:r>
              <w:rPr>
                <w:sz w:val="18"/>
              </w:rPr>
              <w:t>1.996,72</w:t>
            </w:r>
          </w:p>
        </w:tc>
        <w:tc>
          <w:tcPr>
            <w:tcW w:w="700" w:type="dxa"/>
            <w:tcMar>
              <w:top w:w="0" w:type="dxa"/>
              <w:bottom w:w="0" w:type="dxa"/>
            </w:tcMar>
            <w:vAlign w:val="center"/>
          </w:tcPr>
          <w:p w14:paraId="69071E05" w14:textId="77777777" w:rsidR="003E5FCF" w:rsidRDefault="00000000">
            <w:pPr>
              <w:keepNext/>
              <w:keepLines/>
              <w:spacing w:after="0" w:line="240" w:lineRule="auto"/>
              <w:jc w:val="right"/>
            </w:pPr>
            <w:r>
              <w:rPr>
                <w:sz w:val="18"/>
              </w:rPr>
              <w:t>68,3</w:t>
            </w:r>
          </w:p>
        </w:tc>
      </w:tr>
    </w:tbl>
    <w:p w14:paraId="11D0506F" w14:textId="77777777" w:rsidR="003E5FCF" w:rsidRDefault="003E5FCF">
      <w:pPr>
        <w:spacing w:after="0"/>
      </w:pPr>
    </w:p>
    <w:p w14:paraId="7FAA681F" w14:textId="77777777" w:rsidR="003E5FCF" w:rsidRDefault="00000000">
      <w:r>
        <w:t>U ovom izvještajnom razdoblju zabilježeno je smanjenje rashoda za materijal i dijelove za tekuće i investicijsko održavanje u odnosu na prethodnu godinu.  U prethodnoj godini potreba za materijalom i dijelovima bila je izraženija zbog provedbe projekta proširenja i nadogradnje vrtića. Tijekom realizacije tog projekta nastale su izvanredne i neplanirane situacije, poput nepredviđenih popravaka, prilagodbi postojećih instalacija, dodatnih građevinskih zahvata i privremenih rješenja za nesmetano odvijanje odgojno-obrazovnog rada, što je zahtijevalo dodatne količine materijala za tekuće održavanje.</w:t>
      </w:r>
    </w:p>
    <w:p w14:paraId="47695723" w14:textId="77777777" w:rsidR="003E5FCF" w:rsidRDefault="003E5FCF"/>
    <w:p w14:paraId="2F40A685" w14:textId="77777777" w:rsidR="003E5FCF"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3898D1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40F6C2"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476463"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E32A18"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D2A592"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26BD7E"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402A06" w14:textId="77777777" w:rsidR="003E5FCF" w:rsidRDefault="00000000">
            <w:pPr>
              <w:keepNext/>
              <w:keepLines/>
              <w:spacing w:after="0" w:line="240" w:lineRule="auto"/>
              <w:jc w:val="center"/>
            </w:pPr>
            <w:r>
              <w:rPr>
                <w:b/>
                <w:sz w:val="18"/>
              </w:rPr>
              <w:t>Indeks (%)</w:t>
            </w:r>
          </w:p>
        </w:tc>
      </w:tr>
      <w:tr w:rsidR="003E5FCF" w14:paraId="6BEB75E2" w14:textId="77777777">
        <w:tblPrEx>
          <w:tblCellMar>
            <w:top w:w="0" w:type="dxa"/>
            <w:bottom w:w="0" w:type="dxa"/>
          </w:tblCellMar>
        </w:tblPrEx>
        <w:trPr>
          <w:cantSplit/>
          <w:trHeight w:val="560"/>
        </w:trPr>
        <w:tc>
          <w:tcPr>
            <w:tcW w:w="700" w:type="dxa"/>
            <w:tcMar>
              <w:top w:w="0" w:type="dxa"/>
              <w:bottom w:w="0" w:type="dxa"/>
            </w:tcMar>
            <w:vAlign w:val="center"/>
          </w:tcPr>
          <w:p w14:paraId="59B715A4" w14:textId="77777777" w:rsidR="003E5FCF" w:rsidRDefault="00000000">
            <w:pPr>
              <w:keepNext/>
              <w:keepLines/>
              <w:spacing w:after="0" w:line="240" w:lineRule="auto"/>
            </w:pPr>
            <w:r>
              <w:rPr>
                <w:sz w:val="18"/>
              </w:rPr>
              <w:t>3227</w:t>
            </w:r>
          </w:p>
        </w:tc>
        <w:tc>
          <w:tcPr>
            <w:tcW w:w="3180" w:type="dxa"/>
            <w:tcMar>
              <w:top w:w="0" w:type="dxa"/>
              <w:bottom w:w="0" w:type="dxa"/>
            </w:tcMar>
            <w:vAlign w:val="center"/>
          </w:tcPr>
          <w:p w14:paraId="5FC61DC7" w14:textId="77777777" w:rsidR="003E5FCF"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4E713608" w14:textId="77777777" w:rsidR="003E5FCF" w:rsidRDefault="00000000">
            <w:pPr>
              <w:keepNext/>
              <w:keepLines/>
              <w:spacing w:after="0" w:line="240" w:lineRule="auto"/>
            </w:pPr>
            <w:r>
              <w:rPr>
                <w:sz w:val="18"/>
              </w:rPr>
              <w:t>3227</w:t>
            </w:r>
          </w:p>
        </w:tc>
        <w:tc>
          <w:tcPr>
            <w:tcW w:w="1860" w:type="dxa"/>
            <w:tcMar>
              <w:top w:w="0" w:type="dxa"/>
              <w:bottom w:w="0" w:type="dxa"/>
            </w:tcMar>
            <w:vAlign w:val="center"/>
          </w:tcPr>
          <w:p w14:paraId="6832A978" w14:textId="77777777" w:rsidR="003E5FCF" w:rsidRDefault="00000000">
            <w:pPr>
              <w:keepNext/>
              <w:keepLines/>
              <w:spacing w:after="0" w:line="240" w:lineRule="auto"/>
              <w:jc w:val="right"/>
            </w:pPr>
            <w:r>
              <w:rPr>
                <w:sz w:val="18"/>
              </w:rPr>
              <w:t>1.166,44</w:t>
            </w:r>
          </w:p>
        </w:tc>
        <w:tc>
          <w:tcPr>
            <w:tcW w:w="1860" w:type="dxa"/>
            <w:tcMar>
              <w:top w:w="0" w:type="dxa"/>
              <w:bottom w:w="0" w:type="dxa"/>
            </w:tcMar>
            <w:vAlign w:val="center"/>
          </w:tcPr>
          <w:p w14:paraId="7A9C5541" w14:textId="77777777" w:rsidR="003E5FCF" w:rsidRDefault="00000000">
            <w:pPr>
              <w:keepNext/>
              <w:keepLines/>
              <w:spacing w:after="0" w:line="240" w:lineRule="auto"/>
              <w:jc w:val="right"/>
            </w:pPr>
            <w:r>
              <w:rPr>
                <w:sz w:val="18"/>
              </w:rPr>
              <w:t>2.329,32</w:t>
            </w:r>
          </w:p>
        </w:tc>
        <w:tc>
          <w:tcPr>
            <w:tcW w:w="700" w:type="dxa"/>
            <w:tcMar>
              <w:top w:w="0" w:type="dxa"/>
              <w:bottom w:w="0" w:type="dxa"/>
            </w:tcMar>
            <w:vAlign w:val="center"/>
          </w:tcPr>
          <w:p w14:paraId="5A7F97B2" w14:textId="77777777" w:rsidR="003E5FCF" w:rsidRDefault="00000000">
            <w:pPr>
              <w:keepNext/>
              <w:keepLines/>
              <w:spacing w:after="0" w:line="240" w:lineRule="auto"/>
              <w:jc w:val="right"/>
            </w:pPr>
            <w:r>
              <w:rPr>
                <w:sz w:val="18"/>
              </w:rPr>
              <w:t>199,7</w:t>
            </w:r>
          </w:p>
        </w:tc>
      </w:tr>
    </w:tbl>
    <w:p w14:paraId="4316405C" w14:textId="77777777" w:rsidR="003E5FCF" w:rsidRDefault="003E5FCF">
      <w:pPr>
        <w:spacing w:after="0"/>
      </w:pPr>
    </w:p>
    <w:p w14:paraId="47AFDA92" w14:textId="77777777" w:rsidR="003E5FCF" w:rsidRDefault="00000000">
      <w:r>
        <w:t>Rashodi za službenu i radnu odjeću i obuću veći su u odnosu na isto razdoblje prethodne godine, prvenstveno zbog:  - zapošljavanja šest novih radnika u rujnu 2024. godine te - jednog dodatnog zaposlenja u prosincu 2024. godine. Tijekom 2025. godine izvršena je redovna nabava radne odjeće, koja se prema unutarnjim aktima vrtića nabavlja svake druge godine, te radne obuće, koja se nabavlja svake godine.</w:t>
      </w:r>
    </w:p>
    <w:p w14:paraId="4060E204" w14:textId="77777777" w:rsidR="003E5FCF" w:rsidRDefault="003E5FCF"/>
    <w:p w14:paraId="5FCB7829" w14:textId="77777777" w:rsidR="003E5FCF"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7F786D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CDAC64"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5B3698"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4A3CE3"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E97DF"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E523D2"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9C1904" w14:textId="77777777" w:rsidR="003E5FCF" w:rsidRDefault="00000000">
            <w:pPr>
              <w:keepNext/>
              <w:keepLines/>
              <w:spacing w:after="0" w:line="240" w:lineRule="auto"/>
              <w:jc w:val="center"/>
            </w:pPr>
            <w:r>
              <w:rPr>
                <w:b/>
                <w:sz w:val="18"/>
              </w:rPr>
              <w:t>Indeks (%)</w:t>
            </w:r>
          </w:p>
        </w:tc>
      </w:tr>
      <w:tr w:rsidR="003E5FCF" w14:paraId="263229E5" w14:textId="77777777">
        <w:tblPrEx>
          <w:tblCellMar>
            <w:top w:w="0" w:type="dxa"/>
            <w:bottom w:w="0" w:type="dxa"/>
          </w:tblCellMar>
        </w:tblPrEx>
        <w:trPr>
          <w:cantSplit/>
          <w:trHeight w:val="560"/>
        </w:trPr>
        <w:tc>
          <w:tcPr>
            <w:tcW w:w="700" w:type="dxa"/>
            <w:tcMar>
              <w:top w:w="0" w:type="dxa"/>
              <w:bottom w:w="0" w:type="dxa"/>
            </w:tcMar>
            <w:vAlign w:val="center"/>
          </w:tcPr>
          <w:p w14:paraId="4A03C59B" w14:textId="77777777" w:rsidR="003E5FCF" w:rsidRDefault="00000000">
            <w:pPr>
              <w:keepNext/>
              <w:keepLines/>
              <w:spacing w:after="0" w:line="240" w:lineRule="auto"/>
            </w:pPr>
            <w:r>
              <w:rPr>
                <w:sz w:val="18"/>
              </w:rPr>
              <w:t>3232</w:t>
            </w:r>
          </w:p>
        </w:tc>
        <w:tc>
          <w:tcPr>
            <w:tcW w:w="3180" w:type="dxa"/>
            <w:tcMar>
              <w:top w:w="0" w:type="dxa"/>
              <w:bottom w:w="0" w:type="dxa"/>
            </w:tcMar>
            <w:vAlign w:val="center"/>
          </w:tcPr>
          <w:p w14:paraId="0DC0A7D9" w14:textId="77777777" w:rsidR="003E5FCF"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32F3EFD2" w14:textId="77777777" w:rsidR="003E5FCF" w:rsidRDefault="00000000">
            <w:pPr>
              <w:keepNext/>
              <w:keepLines/>
              <w:spacing w:after="0" w:line="240" w:lineRule="auto"/>
            </w:pPr>
            <w:r>
              <w:rPr>
                <w:sz w:val="18"/>
              </w:rPr>
              <w:t>3232</w:t>
            </w:r>
          </w:p>
        </w:tc>
        <w:tc>
          <w:tcPr>
            <w:tcW w:w="1860" w:type="dxa"/>
            <w:tcMar>
              <w:top w:w="0" w:type="dxa"/>
              <w:bottom w:w="0" w:type="dxa"/>
            </w:tcMar>
            <w:vAlign w:val="center"/>
          </w:tcPr>
          <w:p w14:paraId="534429C6" w14:textId="77777777" w:rsidR="003E5FCF" w:rsidRDefault="00000000">
            <w:pPr>
              <w:keepNext/>
              <w:keepLines/>
              <w:spacing w:after="0" w:line="240" w:lineRule="auto"/>
              <w:jc w:val="right"/>
            </w:pPr>
            <w:r>
              <w:rPr>
                <w:sz w:val="18"/>
              </w:rPr>
              <w:t>15.675,32</w:t>
            </w:r>
          </w:p>
        </w:tc>
        <w:tc>
          <w:tcPr>
            <w:tcW w:w="1860" w:type="dxa"/>
            <w:tcMar>
              <w:top w:w="0" w:type="dxa"/>
              <w:bottom w:w="0" w:type="dxa"/>
            </w:tcMar>
            <w:vAlign w:val="center"/>
          </w:tcPr>
          <w:p w14:paraId="79036CA4" w14:textId="77777777" w:rsidR="003E5FCF" w:rsidRDefault="00000000">
            <w:pPr>
              <w:keepNext/>
              <w:keepLines/>
              <w:spacing w:after="0" w:line="240" w:lineRule="auto"/>
              <w:jc w:val="right"/>
            </w:pPr>
            <w:r>
              <w:rPr>
                <w:sz w:val="18"/>
              </w:rPr>
              <w:t>12.617,93</w:t>
            </w:r>
          </w:p>
        </w:tc>
        <w:tc>
          <w:tcPr>
            <w:tcW w:w="700" w:type="dxa"/>
            <w:tcMar>
              <w:top w:w="0" w:type="dxa"/>
              <w:bottom w:w="0" w:type="dxa"/>
            </w:tcMar>
            <w:vAlign w:val="center"/>
          </w:tcPr>
          <w:p w14:paraId="136BB602" w14:textId="77777777" w:rsidR="003E5FCF" w:rsidRDefault="00000000">
            <w:pPr>
              <w:keepNext/>
              <w:keepLines/>
              <w:spacing w:after="0" w:line="240" w:lineRule="auto"/>
              <w:jc w:val="right"/>
            </w:pPr>
            <w:r>
              <w:rPr>
                <w:sz w:val="18"/>
              </w:rPr>
              <w:t>80,5</w:t>
            </w:r>
          </w:p>
        </w:tc>
      </w:tr>
    </w:tbl>
    <w:p w14:paraId="6D7DEE63" w14:textId="77777777" w:rsidR="003E5FCF" w:rsidRDefault="003E5FCF">
      <w:pPr>
        <w:spacing w:after="0"/>
      </w:pPr>
    </w:p>
    <w:p w14:paraId="132F2EA6" w14:textId="77777777" w:rsidR="003E5FCF" w:rsidRDefault="00000000">
      <w:r>
        <w:t>U izvještajnom razdoblju rashodi za usluge tekućeg i investicijskog održavanja smanjeni su u odnosu na prethodnu godinu. U prethodnoj godini potreba za navedenim uslugama bila je izraženija zbog provedbe projekta proširenja i nadogradnje vrtića, tijekom čije su realizacije nastale izvanredne i neplanirane situacije.</w:t>
      </w:r>
    </w:p>
    <w:p w14:paraId="141D5253" w14:textId="77777777" w:rsidR="003E5FCF" w:rsidRDefault="00000000">
      <w:r>
        <w:t xml:space="preserve">Aktivnosti provedene tijekom 2025. godine imale su za cilj osigurati funkcionalnost, sigurnost i trajnost opreme i prostora te su obuhvaćale: podešavanje i ugradnju opreme radi optimalnog rada dizalice topline postavljene projektom rekonstrukcije i dogradnje vrtića; montažu elektromagnetne brave sa šifrom radi povećanja sigurnosti objekta i kontrole ulaska u </w:t>
      </w:r>
      <w:r>
        <w:lastRenderedPageBreak/>
        <w:t xml:space="preserve">ustanovu; servise i popravke </w:t>
      </w:r>
      <w:proofErr w:type="spellStart"/>
      <w:r>
        <w:t>ljuštilice</w:t>
      </w:r>
      <w:proofErr w:type="spellEnd"/>
      <w:r>
        <w:t xml:space="preserve"> krumpira, perilice posuđa, fotokopirnog uređaja, plinskog štednjaka; mjesečna održavanja dizala i redovni godišnji pregled dizala; periodični pregled vatrogasnih aparata; servis plamenika na peći za centralno grijanje; mjerenje emisija onečišćujućih tvari u zraku te servis i pregled klima uređaja, sve sukladno važećim zakonskim propisima i pravilima tehničkog održavanja.</w:t>
      </w:r>
    </w:p>
    <w:p w14:paraId="43EC0096" w14:textId="77777777" w:rsidR="003E5FCF" w:rsidRDefault="003E5FCF"/>
    <w:p w14:paraId="4FDF4A71" w14:textId="77777777" w:rsidR="003E5FCF"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65B8E9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37A39F"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8CEB0C"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21EE7F"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C74E62"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16F40B"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9D4050" w14:textId="77777777" w:rsidR="003E5FCF" w:rsidRDefault="00000000">
            <w:pPr>
              <w:keepNext/>
              <w:keepLines/>
              <w:spacing w:after="0" w:line="240" w:lineRule="auto"/>
              <w:jc w:val="center"/>
            </w:pPr>
            <w:r>
              <w:rPr>
                <w:b/>
                <w:sz w:val="18"/>
              </w:rPr>
              <w:t>Indeks (%)</w:t>
            </w:r>
          </w:p>
        </w:tc>
      </w:tr>
      <w:tr w:rsidR="003E5FCF" w14:paraId="798C63DC" w14:textId="77777777">
        <w:tblPrEx>
          <w:tblCellMar>
            <w:top w:w="0" w:type="dxa"/>
            <w:bottom w:w="0" w:type="dxa"/>
          </w:tblCellMar>
        </w:tblPrEx>
        <w:trPr>
          <w:cantSplit/>
          <w:trHeight w:val="560"/>
        </w:trPr>
        <w:tc>
          <w:tcPr>
            <w:tcW w:w="700" w:type="dxa"/>
            <w:tcMar>
              <w:top w:w="0" w:type="dxa"/>
              <w:bottom w:w="0" w:type="dxa"/>
            </w:tcMar>
            <w:vAlign w:val="center"/>
          </w:tcPr>
          <w:p w14:paraId="01D9DC5B" w14:textId="77777777" w:rsidR="003E5FCF" w:rsidRDefault="00000000">
            <w:pPr>
              <w:keepNext/>
              <w:keepLines/>
              <w:spacing w:after="0" w:line="240" w:lineRule="auto"/>
            </w:pPr>
            <w:r>
              <w:rPr>
                <w:sz w:val="18"/>
              </w:rPr>
              <w:t>3234</w:t>
            </w:r>
          </w:p>
        </w:tc>
        <w:tc>
          <w:tcPr>
            <w:tcW w:w="3180" w:type="dxa"/>
            <w:tcMar>
              <w:top w:w="0" w:type="dxa"/>
              <w:bottom w:w="0" w:type="dxa"/>
            </w:tcMar>
            <w:vAlign w:val="center"/>
          </w:tcPr>
          <w:p w14:paraId="1DE742D6" w14:textId="77777777" w:rsidR="003E5FCF" w:rsidRDefault="00000000">
            <w:pPr>
              <w:keepNext/>
              <w:keepLines/>
              <w:spacing w:after="0" w:line="240" w:lineRule="auto"/>
            </w:pPr>
            <w:r>
              <w:rPr>
                <w:sz w:val="18"/>
              </w:rPr>
              <w:t>Komunalne usluge</w:t>
            </w:r>
          </w:p>
        </w:tc>
        <w:tc>
          <w:tcPr>
            <w:tcW w:w="700" w:type="dxa"/>
            <w:tcMar>
              <w:top w:w="0" w:type="dxa"/>
              <w:bottom w:w="0" w:type="dxa"/>
            </w:tcMar>
            <w:vAlign w:val="center"/>
          </w:tcPr>
          <w:p w14:paraId="4BFBD2ED" w14:textId="77777777" w:rsidR="003E5FCF" w:rsidRDefault="00000000">
            <w:pPr>
              <w:keepNext/>
              <w:keepLines/>
              <w:spacing w:after="0" w:line="240" w:lineRule="auto"/>
            </w:pPr>
            <w:r>
              <w:rPr>
                <w:sz w:val="18"/>
              </w:rPr>
              <w:t>3234</w:t>
            </w:r>
          </w:p>
        </w:tc>
        <w:tc>
          <w:tcPr>
            <w:tcW w:w="1860" w:type="dxa"/>
            <w:tcMar>
              <w:top w:w="0" w:type="dxa"/>
              <w:bottom w:w="0" w:type="dxa"/>
            </w:tcMar>
            <w:vAlign w:val="center"/>
          </w:tcPr>
          <w:p w14:paraId="16D7AE02" w14:textId="77777777" w:rsidR="003E5FCF" w:rsidRDefault="00000000">
            <w:pPr>
              <w:keepNext/>
              <w:keepLines/>
              <w:spacing w:after="0" w:line="240" w:lineRule="auto"/>
              <w:jc w:val="right"/>
            </w:pPr>
            <w:r>
              <w:rPr>
                <w:sz w:val="18"/>
              </w:rPr>
              <w:t>5.897,44</w:t>
            </w:r>
          </w:p>
        </w:tc>
        <w:tc>
          <w:tcPr>
            <w:tcW w:w="1860" w:type="dxa"/>
            <w:tcMar>
              <w:top w:w="0" w:type="dxa"/>
              <w:bottom w:w="0" w:type="dxa"/>
            </w:tcMar>
            <w:vAlign w:val="center"/>
          </w:tcPr>
          <w:p w14:paraId="6B3B4962" w14:textId="77777777" w:rsidR="003E5FCF" w:rsidRDefault="00000000">
            <w:pPr>
              <w:keepNext/>
              <w:keepLines/>
              <w:spacing w:after="0" w:line="240" w:lineRule="auto"/>
              <w:jc w:val="right"/>
            </w:pPr>
            <w:r>
              <w:rPr>
                <w:sz w:val="18"/>
              </w:rPr>
              <w:t>7.170,00</w:t>
            </w:r>
          </w:p>
        </w:tc>
        <w:tc>
          <w:tcPr>
            <w:tcW w:w="700" w:type="dxa"/>
            <w:tcMar>
              <w:top w:w="0" w:type="dxa"/>
              <w:bottom w:w="0" w:type="dxa"/>
            </w:tcMar>
            <w:vAlign w:val="center"/>
          </w:tcPr>
          <w:p w14:paraId="5C7B1974" w14:textId="77777777" w:rsidR="003E5FCF" w:rsidRDefault="00000000">
            <w:pPr>
              <w:keepNext/>
              <w:keepLines/>
              <w:spacing w:after="0" w:line="240" w:lineRule="auto"/>
              <w:jc w:val="right"/>
            </w:pPr>
            <w:r>
              <w:rPr>
                <w:sz w:val="18"/>
              </w:rPr>
              <w:t>121,6</w:t>
            </w:r>
          </w:p>
        </w:tc>
      </w:tr>
    </w:tbl>
    <w:p w14:paraId="19DFDE45" w14:textId="77777777" w:rsidR="003E5FCF" w:rsidRDefault="003E5FCF">
      <w:pPr>
        <w:spacing w:after="0"/>
      </w:pPr>
    </w:p>
    <w:p w14:paraId="3C5EAD8C" w14:textId="77777777" w:rsidR="003E5FCF" w:rsidRDefault="00000000">
      <w:r>
        <w:t xml:space="preserve">Povećanje rashoda za komunalne usluge u odnosu na isto izvještajno razdoblje prethodne godine rezultat je rasta cijene usluge opskrbe vodom te angažiranja stručnjaka Zavoda za javno zdravstvo karlovačke županije radi uklanjanja gnijezda </w:t>
      </w:r>
      <w:proofErr w:type="spellStart"/>
      <w:r>
        <w:t>stršljana</w:t>
      </w:r>
      <w:proofErr w:type="spellEnd"/>
      <w:r>
        <w:t>. Gnijezdo se nalazilo na vrlo nepristupačnom mjestu iznad terase vrtića te je predstavljalo potencijalnu opasnost za djecu koja borave u vrtiću.</w:t>
      </w:r>
    </w:p>
    <w:p w14:paraId="17349B58" w14:textId="77777777" w:rsidR="003E5FCF" w:rsidRDefault="003E5FCF"/>
    <w:p w14:paraId="58383D62" w14:textId="77777777" w:rsidR="003E5FCF"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30AA0C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97BE35"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68B66B"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2B056F"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7C3B1B"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F45519"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717534" w14:textId="77777777" w:rsidR="003E5FCF" w:rsidRDefault="00000000">
            <w:pPr>
              <w:keepNext/>
              <w:keepLines/>
              <w:spacing w:after="0" w:line="240" w:lineRule="auto"/>
              <w:jc w:val="center"/>
            </w:pPr>
            <w:r>
              <w:rPr>
                <w:b/>
                <w:sz w:val="18"/>
              </w:rPr>
              <w:t>Indeks (%)</w:t>
            </w:r>
          </w:p>
        </w:tc>
      </w:tr>
      <w:tr w:rsidR="003E5FCF" w14:paraId="257704A9" w14:textId="77777777">
        <w:tblPrEx>
          <w:tblCellMar>
            <w:top w:w="0" w:type="dxa"/>
            <w:bottom w:w="0" w:type="dxa"/>
          </w:tblCellMar>
        </w:tblPrEx>
        <w:trPr>
          <w:cantSplit/>
          <w:trHeight w:val="560"/>
        </w:trPr>
        <w:tc>
          <w:tcPr>
            <w:tcW w:w="700" w:type="dxa"/>
            <w:tcMar>
              <w:top w:w="0" w:type="dxa"/>
              <w:bottom w:w="0" w:type="dxa"/>
            </w:tcMar>
            <w:vAlign w:val="center"/>
          </w:tcPr>
          <w:p w14:paraId="06B07410" w14:textId="77777777" w:rsidR="003E5FCF" w:rsidRDefault="00000000">
            <w:pPr>
              <w:keepNext/>
              <w:keepLines/>
              <w:spacing w:after="0" w:line="240" w:lineRule="auto"/>
            </w:pPr>
            <w:r>
              <w:rPr>
                <w:sz w:val="18"/>
              </w:rPr>
              <w:t>3237</w:t>
            </w:r>
          </w:p>
        </w:tc>
        <w:tc>
          <w:tcPr>
            <w:tcW w:w="3180" w:type="dxa"/>
            <w:tcMar>
              <w:top w:w="0" w:type="dxa"/>
              <w:bottom w:w="0" w:type="dxa"/>
            </w:tcMar>
            <w:vAlign w:val="center"/>
          </w:tcPr>
          <w:p w14:paraId="3A614070" w14:textId="77777777" w:rsidR="003E5FCF"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3FF1CC20" w14:textId="77777777" w:rsidR="003E5FCF" w:rsidRDefault="00000000">
            <w:pPr>
              <w:keepNext/>
              <w:keepLines/>
              <w:spacing w:after="0" w:line="240" w:lineRule="auto"/>
            </w:pPr>
            <w:r>
              <w:rPr>
                <w:sz w:val="18"/>
              </w:rPr>
              <w:t>3237</w:t>
            </w:r>
          </w:p>
        </w:tc>
        <w:tc>
          <w:tcPr>
            <w:tcW w:w="1860" w:type="dxa"/>
            <w:tcMar>
              <w:top w:w="0" w:type="dxa"/>
              <w:bottom w:w="0" w:type="dxa"/>
            </w:tcMar>
            <w:vAlign w:val="center"/>
          </w:tcPr>
          <w:p w14:paraId="3A30AD62" w14:textId="77777777" w:rsidR="003E5FCF" w:rsidRDefault="00000000">
            <w:pPr>
              <w:keepNext/>
              <w:keepLines/>
              <w:spacing w:after="0" w:line="240" w:lineRule="auto"/>
              <w:jc w:val="right"/>
            </w:pPr>
            <w:r>
              <w:rPr>
                <w:sz w:val="18"/>
              </w:rPr>
              <w:t>312,50</w:t>
            </w:r>
          </w:p>
        </w:tc>
        <w:tc>
          <w:tcPr>
            <w:tcW w:w="1860" w:type="dxa"/>
            <w:tcMar>
              <w:top w:w="0" w:type="dxa"/>
              <w:bottom w:w="0" w:type="dxa"/>
            </w:tcMar>
            <w:vAlign w:val="center"/>
          </w:tcPr>
          <w:p w14:paraId="7878668F" w14:textId="77777777" w:rsidR="003E5FCF" w:rsidRDefault="00000000">
            <w:pPr>
              <w:keepNext/>
              <w:keepLines/>
              <w:spacing w:after="0" w:line="240" w:lineRule="auto"/>
              <w:jc w:val="right"/>
            </w:pPr>
            <w:r>
              <w:rPr>
                <w:sz w:val="18"/>
              </w:rPr>
              <w:t>2.556,94</w:t>
            </w:r>
          </w:p>
        </w:tc>
        <w:tc>
          <w:tcPr>
            <w:tcW w:w="700" w:type="dxa"/>
            <w:tcMar>
              <w:top w:w="0" w:type="dxa"/>
              <w:bottom w:w="0" w:type="dxa"/>
            </w:tcMar>
            <w:vAlign w:val="center"/>
          </w:tcPr>
          <w:p w14:paraId="3E03739C" w14:textId="77777777" w:rsidR="003E5FCF" w:rsidRDefault="00000000">
            <w:pPr>
              <w:keepNext/>
              <w:keepLines/>
              <w:spacing w:after="0" w:line="240" w:lineRule="auto"/>
              <w:jc w:val="right"/>
            </w:pPr>
            <w:r>
              <w:rPr>
                <w:sz w:val="18"/>
              </w:rPr>
              <w:t>818,2</w:t>
            </w:r>
          </w:p>
        </w:tc>
      </w:tr>
    </w:tbl>
    <w:p w14:paraId="61FA8AD4" w14:textId="77777777" w:rsidR="003E5FCF" w:rsidRDefault="003E5FCF">
      <w:pPr>
        <w:spacing w:after="0"/>
      </w:pPr>
    </w:p>
    <w:p w14:paraId="63ACD323" w14:textId="77777777" w:rsidR="003E5FCF" w:rsidRDefault="00000000">
      <w:r>
        <w:t>Rashodi za intelektualne usluge povećani su u odnosu na isto razdoblje prošle godine zbog odvjetničkih usluga zastupanja vrtića na raspravi pred Trgovačkim sudom vezano za tužbu izvođača radova rekonstrukcije i dogradnje vrtića koja je neosnovana.</w:t>
      </w:r>
    </w:p>
    <w:p w14:paraId="782CC3AC" w14:textId="77777777" w:rsidR="003E5FCF" w:rsidRDefault="003E5FCF"/>
    <w:p w14:paraId="685B9525" w14:textId="77777777" w:rsidR="003E5FCF"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45372B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75896E"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260465"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8382D1"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E4386"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B13CFA"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7D1FBB" w14:textId="77777777" w:rsidR="003E5FCF" w:rsidRDefault="00000000">
            <w:pPr>
              <w:keepNext/>
              <w:keepLines/>
              <w:spacing w:after="0" w:line="240" w:lineRule="auto"/>
              <w:jc w:val="center"/>
            </w:pPr>
            <w:r>
              <w:rPr>
                <w:b/>
                <w:sz w:val="18"/>
              </w:rPr>
              <w:t>Indeks (%)</w:t>
            </w:r>
          </w:p>
        </w:tc>
      </w:tr>
      <w:tr w:rsidR="003E5FCF" w14:paraId="5BE09F50" w14:textId="77777777">
        <w:tblPrEx>
          <w:tblCellMar>
            <w:top w:w="0" w:type="dxa"/>
            <w:bottom w:w="0" w:type="dxa"/>
          </w:tblCellMar>
        </w:tblPrEx>
        <w:trPr>
          <w:cantSplit/>
          <w:trHeight w:val="560"/>
        </w:trPr>
        <w:tc>
          <w:tcPr>
            <w:tcW w:w="700" w:type="dxa"/>
            <w:tcMar>
              <w:top w:w="0" w:type="dxa"/>
              <w:bottom w:w="0" w:type="dxa"/>
            </w:tcMar>
            <w:vAlign w:val="center"/>
          </w:tcPr>
          <w:p w14:paraId="7096C828" w14:textId="77777777" w:rsidR="003E5FCF" w:rsidRDefault="00000000">
            <w:pPr>
              <w:keepNext/>
              <w:keepLines/>
              <w:spacing w:after="0" w:line="240" w:lineRule="auto"/>
            </w:pPr>
            <w:r>
              <w:rPr>
                <w:sz w:val="18"/>
              </w:rPr>
              <w:t>3239</w:t>
            </w:r>
          </w:p>
        </w:tc>
        <w:tc>
          <w:tcPr>
            <w:tcW w:w="3180" w:type="dxa"/>
            <w:tcMar>
              <w:top w:w="0" w:type="dxa"/>
              <w:bottom w:w="0" w:type="dxa"/>
            </w:tcMar>
            <w:vAlign w:val="center"/>
          </w:tcPr>
          <w:p w14:paraId="63898B15" w14:textId="77777777" w:rsidR="003E5FCF" w:rsidRDefault="00000000">
            <w:pPr>
              <w:keepNext/>
              <w:keepLines/>
              <w:spacing w:after="0" w:line="240" w:lineRule="auto"/>
            </w:pPr>
            <w:r>
              <w:rPr>
                <w:sz w:val="18"/>
              </w:rPr>
              <w:t>Ostale usluge</w:t>
            </w:r>
          </w:p>
        </w:tc>
        <w:tc>
          <w:tcPr>
            <w:tcW w:w="700" w:type="dxa"/>
            <w:tcMar>
              <w:top w:w="0" w:type="dxa"/>
              <w:bottom w:w="0" w:type="dxa"/>
            </w:tcMar>
            <w:vAlign w:val="center"/>
          </w:tcPr>
          <w:p w14:paraId="2EA99BD7" w14:textId="77777777" w:rsidR="003E5FCF" w:rsidRDefault="00000000">
            <w:pPr>
              <w:keepNext/>
              <w:keepLines/>
              <w:spacing w:after="0" w:line="240" w:lineRule="auto"/>
            </w:pPr>
            <w:r>
              <w:rPr>
                <w:sz w:val="18"/>
              </w:rPr>
              <w:t>3239</w:t>
            </w:r>
          </w:p>
        </w:tc>
        <w:tc>
          <w:tcPr>
            <w:tcW w:w="1860" w:type="dxa"/>
            <w:tcMar>
              <w:top w:w="0" w:type="dxa"/>
              <w:bottom w:w="0" w:type="dxa"/>
            </w:tcMar>
            <w:vAlign w:val="center"/>
          </w:tcPr>
          <w:p w14:paraId="3BCC6092" w14:textId="77777777" w:rsidR="003E5FCF" w:rsidRDefault="00000000">
            <w:pPr>
              <w:keepNext/>
              <w:keepLines/>
              <w:spacing w:after="0" w:line="240" w:lineRule="auto"/>
              <w:jc w:val="right"/>
            </w:pPr>
            <w:r>
              <w:rPr>
                <w:sz w:val="18"/>
              </w:rPr>
              <w:t>736,27</w:t>
            </w:r>
          </w:p>
        </w:tc>
        <w:tc>
          <w:tcPr>
            <w:tcW w:w="1860" w:type="dxa"/>
            <w:tcMar>
              <w:top w:w="0" w:type="dxa"/>
              <w:bottom w:w="0" w:type="dxa"/>
            </w:tcMar>
            <w:vAlign w:val="center"/>
          </w:tcPr>
          <w:p w14:paraId="2AA1963C" w14:textId="77777777" w:rsidR="003E5FCF" w:rsidRDefault="00000000">
            <w:pPr>
              <w:keepNext/>
              <w:keepLines/>
              <w:spacing w:after="0" w:line="240" w:lineRule="auto"/>
              <w:jc w:val="right"/>
            </w:pPr>
            <w:r>
              <w:rPr>
                <w:sz w:val="18"/>
              </w:rPr>
              <w:t>1.339,63</w:t>
            </w:r>
          </w:p>
        </w:tc>
        <w:tc>
          <w:tcPr>
            <w:tcW w:w="700" w:type="dxa"/>
            <w:tcMar>
              <w:top w:w="0" w:type="dxa"/>
              <w:bottom w:w="0" w:type="dxa"/>
            </w:tcMar>
            <w:vAlign w:val="center"/>
          </w:tcPr>
          <w:p w14:paraId="140D436E" w14:textId="77777777" w:rsidR="003E5FCF" w:rsidRDefault="00000000">
            <w:pPr>
              <w:keepNext/>
              <w:keepLines/>
              <w:spacing w:after="0" w:line="240" w:lineRule="auto"/>
              <w:jc w:val="right"/>
            </w:pPr>
            <w:r>
              <w:rPr>
                <w:sz w:val="18"/>
              </w:rPr>
              <w:t>181,9</w:t>
            </w:r>
          </w:p>
        </w:tc>
      </w:tr>
    </w:tbl>
    <w:p w14:paraId="534C9D6C" w14:textId="77777777" w:rsidR="003E5FCF" w:rsidRDefault="003E5FCF">
      <w:pPr>
        <w:spacing w:after="0"/>
      </w:pPr>
    </w:p>
    <w:p w14:paraId="3D401E83" w14:textId="77777777" w:rsidR="003E5FCF" w:rsidRDefault="00000000">
      <w:r>
        <w:t>Rashodi za ostale usluge povećani su u odnosu na prethodno razdoblje zbog troška objave oglasa za natječaj za ravnatelja u Narodnim novinama u iznosu od 928,25 EUR.</w:t>
      </w:r>
    </w:p>
    <w:p w14:paraId="5FDF5F1B" w14:textId="77777777" w:rsidR="003E5FCF" w:rsidRDefault="003E5FCF"/>
    <w:p w14:paraId="17506EA5" w14:textId="77777777" w:rsidR="003E5FCF"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71BA06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B16FA2"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145C76"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2C0711"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17D5BF"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6FA733"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6E2CD0" w14:textId="77777777" w:rsidR="003E5FCF" w:rsidRDefault="00000000">
            <w:pPr>
              <w:keepNext/>
              <w:keepLines/>
              <w:spacing w:after="0" w:line="240" w:lineRule="auto"/>
              <w:jc w:val="center"/>
            </w:pPr>
            <w:r>
              <w:rPr>
                <w:b/>
                <w:sz w:val="18"/>
              </w:rPr>
              <w:t>Indeks (%)</w:t>
            </w:r>
          </w:p>
        </w:tc>
      </w:tr>
      <w:tr w:rsidR="003E5FCF" w14:paraId="7D98468D" w14:textId="77777777">
        <w:tblPrEx>
          <w:tblCellMar>
            <w:top w:w="0" w:type="dxa"/>
            <w:bottom w:w="0" w:type="dxa"/>
          </w:tblCellMar>
        </w:tblPrEx>
        <w:trPr>
          <w:cantSplit/>
          <w:trHeight w:val="560"/>
        </w:trPr>
        <w:tc>
          <w:tcPr>
            <w:tcW w:w="700" w:type="dxa"/>
            <w:tcMar>
              <w:top w:w="0" w:type="dxa"/>
              <w:bottom w:w="0" w:type="dxa"/>
            </w:tcMar>
            <w:vAlign w:val="center"/>
          </w:tcPr>
          <w:p w14:paraId="08A674A7" w14:textId="77777777" w:rsidR="003E5FCF" w:rsidRDefault="00000000">
            <w:pPr>
              <w:keepNext/>
              <w:keepLines/>
              <w:spacing w:after="0" w:line="240" w:lineRule="auto"/>
            </w:pPr>
            <w:r>
              <w:rPr>
                <w:sz w:val="18"/>
              </w:rPr>
              <w:t>3299</w:t>
            </w:r>
          </w:p>
        </w:tc>
        <w:tc>
          <w:tcPr>
            <w:tcW w:w="3180" w:type="dxa"/>
            <w:tcMar>
              <w:top w:w="0" w:type="dxa"/>
              <w:bottom w:w="0" w:type="dxa"/>
            </w:tcMar>
            <w:vAlign w:val="center"/>
          </w:tcPr>
          <w:p w14:paraId="74D5E3D6" w14:textId="77777777" w:rsidR="003E5FCF"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4C927949" w14:textId="77777777" w:rsidR="003E5FCF" w:rsidRDefault="00000000">
            <w:pPr>
              <w:keepNext/>
              <w:keepLines/>
              <w:spacing w:after="0" w:line="240" w:lineRule="auto"/>
            </w:pPr>
            <w:r>
              <w:rPr>
                <w:sz w:val="18"/>
              </w:rPr>
              <w:t>3299</w:t>
            </w:r>
          </w:p>
        </w:tc>
        <w:tc>
          <w:tcPr>
            <w:tcW w:w="1860" w:type="dxa"/>
            <w:tcMar>
              <w:top w:w="0" w:type="dxa"/>
              <w:bottom w:w="0" w:type="dxa"/>
            </w:tcMar>
            <w:vAlign w:val="center"/>
          </w:tcPr>
          <w:p w14:paraId="2A43B8C4" w14:textId="77777777" w:rsidR="003E5FCF" w:rsidRDefault="00000000">
            <w:pPr>
              <w:keepNext/>
              <w:keepLines/>
              <w:spacing w:after="0" w:line="240" w:lineRule="auto"/>
              <w:jc w:val="right"/>
            </w:pPr>
            <w:r>
              <w:rPr>
                <w:sz w:val="18"/>
              </w:rPr>
              <w:t>20.610,27</w:t>
            </w:r>
          </w:p>
        </w:tc>
        <w:tc>
          <w:tcPr>
            <w:tcW w:w="1860" w:type="dxa"/>
            <w:tcMar>
              <w:top w:w="0" w:type="dxa"/>
              <w:bottom w:w="0" w:type="dxa"/>
            </w:tcMar>
            <w:vAlign w:val="center"/>
          </w:tcPr>
          <w:p w14:paraId="0314097A" w14:textId="77777777" w:rsidR="003E5FCF" w:rsidRDefault="00000000">
            <w:pPr>
              <w:keepNext/>
              <w:keepLines/>
              <w:spacing w:after="0" w:line="240" w:lineRule="auto"/>
              <w:jc w:val="right"/>
            </w:pPr>
            <w:r>
              <w:rPr>
                <w:sz w:val="18"/>
              </w:rPr>
              <w:t>196,70</w:t>
            </w:r>
          </w:p>
        </w:tc>
        <w:tc>
          <w:tcPr>
            <w:tcW w:w="700" w:type="dxa"/>
            <w:tcMar>
              <w:top w:w="0" w:type="dxa"/>
              <w:bottom w:w="0" w:type="dxa"/>
            </w:tcMar>
            <w:vAlign w:val="center"/>
          </w:tcPr>
          <w:p w14:paraId="32BC51BB" w14:textId="77777777" w:rsidR="003E5FCF" w:rsidRDefault="00000000">
            <w:pPr>
              <w:keepNext/>
              <w:keepLines/>
              <w:spacing w:after="0" w:line="240" w:lineRule="auto"/>
              <w:jc w:val="right"/>
            </w:pPr>
            <w:r>
              <w:rPr>
                <w:sz w:val="18"/>
              </w:rPr>
              <w:t>1,0</w:t>
            </w:r>
          </w:p>
        </w:tc>
      </w:tr>
    </w:tbl>
    <w:p w14:paraId="55D79B56" w14:textId="77777777" w:rsidR="003E5FCF" w:rsidRDefault="003E5FCF">
      <w:pPr>
        <w:spacing w:after="0"/>
      </w:pPr>
    </w:p>
    <w:p w14:paraId="4B6F25DB" w14:textId="77777777" w:rsidR="003E5FCF" w:rsidRDefault="00000000">
      <w:r>
        <w:t>Ostali nespomenuti rashodi poslovanja bilježe značajan pad u odnosu na isto razdoblje prethodne godine, kada su na tom kontu evidentirane korekcije, odnosno povrati sredstava vezanih uz projekte produženog boravka djece i rekonstrukcije vrtića u ukupnom iznosu od 20.395,87 eura.</w:t>
      </w:r>
    </w:p>
    <w:p w14:paraId="020C26D1" w14:textId="77777777" w:rsidR="003E5FCF" w:rsidRDefault="003E5FCF"/>
    <w:p w14:paraId="2739D4C1" w14:textId="77777777" w:rsidR="003E5FCF"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436961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A3A5C3"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1B1CC7"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2BF0B6"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BE379A"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6805B4"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AFC6C7" w14:textId="77777777" w:rsidR="003E5FCF" w:rsidRDefault="00000000">
            <w:pPr>
              <w:keepNext/>
              <w:keepLines/>
              <w:spacing w:after="0" w:line="240" w:lineRule="auto"/>
              <w:jc w:val="center"/>
            </w:pPr>
            <w:r>
              <w:rPr>
                <w:b/>
                <w:sz w:val="18"/>
              </w:rPr>
              <w:t>Indeks (%)</w:t>
            </w:r>
          </w:p>
        </w:tc>
      </w:tr>
      <w:tr w:rsidR="003E5FCF" w14:paraId="50DFA654" w14:textId="77777777">
        <w:tblPrEx>
          <w:tblCellMar>
            <w:top w:w="0" w:type="dxa"/>
            <w:bottom w:w="0" w:type="dxa"/>
          </w:tblCellMar>
        </w:tblPrEx>
        <w:trPr>
          <w:cantSplit/>
          <w:trHeight w:val="560"/>
        </w:trPr>
        <w:tc>
          <w:tcPr>
            <w:tcW w:w="700" w:type="dxa"/>
            <w:tcMar>
              <w:top w:w="0" w:type="dxa"/>
              <w:bottom w:w="0" w:type="dxa"/>
            </w:tcMar>
            <w:vAlign w:val="center"/>
          </w:tcPr>
          <w:p w14:paraId="3CCDBDCB" w14:textId="77777777" w:rsidR="003E5FCF" w:rsidRDefault="00000000">
            <w:pPr>
              <w:keepNext/>
              <w:keepLines/>
              <w:spacing w:after="0" w:line="240" w:lineRule="auto"/>
            </w:pPr>
            <w:r>
              <w:rPr>
                <w:sz w:val="18"/>
              </w:rPr>
              <w:t>3431</w:t>
            </w:r>
          </w:p>
        </w:tc>
        <w:tc>
          <w:tcPr>
            <w:tcW w:w="3180" w:type="dxa"/>
            <w:tcMar>
              <w:top w:w="0" w:type="dxa"/>
              <w:bottom w:w="0" w:type="dxa"/>
            </w:tcMar>
            <w:vAlign w:val="center"/>
          </w:tcPr>
          <w:p w14:paraId="3BF6F63A" w14:textId="77777777" w:rsidR="003E5FCF"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0C50F4FA" w14:textId="77777777" w:rsidR="003E5FCF" w:rsidRDefault="00000000">
            <w:pPr>
              <w:keepNext/>
              <w:keepLines/>
              <w:spacing w:after="0" w:line="240" w:lineRule="auto"/>
            </w:pPr>
            <w:r>
              <w:rPr>
                <w:sz w:val="18"/>
              </w:rPr>
              <w:t>3431</w:t>
            </w:r>
          </w:p>
        </w:tc>
        <w:tc>
          <w:tcPr>
            <w:tcW w:w="1860" w:type="dxa"/>
            <w:tcMar>
              <w:top w:w="0" w:type="dxa"/>
              <w:bottom w:w="0" w:type="dxa"/>
            </w:tcMar>
            <w:vAlign w:val="center"/>
          </w:tcPr>
          <w:p w14:paraId="18D2CF7F" w14:textId="77777777" w:rsidR="003E5FCF" w:rsidRDefault="00000000">
            <w:pPr>
              <w:keepNext/>
              <w:keepLines/>
              <w:spacing w:after="0" w:line="240" w:lineRule="auto"/>
              <w:jc w:val="right"/>
            </w:pPr>
            <w:r>
              <w:rPr>
                <w:sz w:val="18"/>
              </w:rPr>
              <w:t>1.255,17</w:t>
            </w:r>
          </w:p>
        </w:tc>
        <w:tc>
          <w:tcPr>
            <w:tcW w:w="1860" w:type="dxa"/>
            <w:tcMar>
              <w:top w:w="0" w:type="dxa"/>
              <w:bottom w:w="0" w:type="dxa"/>
            </w:tcMar>
            <w:vAlign w:val="center"/>
          </w:tcPr>
          <w:p w14:paraId="6A6F0936" w14:textId="77777777" w:rsidR="003E5FCF" w:rsidRDefault="00000000">
            <w:pPr>
              <w:keepNext/>
              <w:keepLines/>
              <w:spacing w:after="0" w:line="240" w:lineRule="auto"/>
              <w:jc w:val="right"/>
            </w:pPr>
            <w:r>
              <w:rPr>
                <w:sz w:val="18"/>
              </w:rPr>
              <w:t>0,00</w:t>
            </w:r>
          </w:p>
        </w:tc>
        <w:tc>
          <w:tcPr>
            <w:tcW w:w="700" w:type="dxa"/>
            <w:tcMar>
              <w:top w:w="0" w:type="dxa"/>
              <w:bottom w:w="0" w:type="dxa"/>
            </w:tcMar>
            <w:vAlign w:val="center"/>
          </w:tcPr>
          <w:p w14:paraId="40C140CC" w14:textId="77777777" w:rsidR="003E5FCF" w:rsidRDefault="00000000">
            <w:pPr>
              <w:keepNext/>
              <w:keepLines/>
              <w:spacing w:after="0" w:line="240" w:lineRule="auto"/>
              <w:jc w:val="right"/>
            </w:pPr>
            <w:r>
              <w:rPr>
                <w:sz w:val="18"/>
              </w:rPr>
              <w:t>0</w:t>
            </w:r>
          </w:p>
        </w:tc>
      </w:tr>
    </w:tbl>
    <w:p w14:paraId="2EFCC4A6" w14:textId="77777777" w:rsidR="003E5FCF" w:rsidRDefault="003E5FCF">
      <w:pPr>
        <w:spacing w:after="0"/>
      </w:pPr>
    </w:p>
    <w:p w14:paraId="3210EFDE" w14:textId="77777777" w:rsidR="003E5FCF" w:rsidRDefault="00000000">
      <w:r>
        <w:t>U izvještajnom razdoblju Dječji vrtić Slunj nije ostvario rashode za bankarske usluge i usluge platnog prometa obzirom da je vrtić 1. siječnja 2025. godine prešao u sustav lokalne riznice i zatvorio vlastiti žiro račun.</w:t>
      </w:r>
    </w:p>
    <w:p w14:paraId="4ECEF023" w14:textId="77777777" w:rsidR="003E5FCF" w:rsidRDefault="003E5FCF"/>
    <w:p w14:paraId="73DF5C68" w14:textId="77777777" w:rsidR="003E5FCF"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43454D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E8FEFC"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8AF778"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447BFA"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55074E"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05FADF"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763E6B" w14:textId="77777777" w:rsidR="003E5FCF" w:rsidRDefault="00000000">
            <w:pPr>
              <w:keepNext/>
              <w:keepLines/>
              <w:spacing w:after="0" w:line="240" w:lineRule="auto"/>
              <w:jc w:val="center"/>
            </w:pPr>
            <w:r>
              <w:rPr>
                <w:b/>
                <w:sz w:val="18"/>
              </w:rPr>
              <w:t>Indeks (%)</w:t>
            </w:r>
          </w:p>
        </w:tc>
      </w:tr>
      <w:tr w:rsidR="003E5FCF" w14:paraId="26C7682D" w14:textId="77777777">
        <w:tblPrEx>
          <w:tblCellMar>
            <w:top w:w="0" w:type="dxa"/>
            <w:bottom w:w="0" w:type="dxa"/>
          </w:tblCellMar>
        </w:tblPrEx>
        <w:trPr>
          <w:cantSplit/>
          <w:trHeight w:val="560"/>
        </w:trPr>
        <w:tc>
          <w:tcPr>
            <w:tcW w:w="700" w:type="dxa"/>
            <w:tcMar>
              <w:top w:w="0" w:type="dxa"/>
              <w:bottom w:w="0" w:type="dxa"/>
            </w:tcMar>
            <w:vAlign w:val="center"/>
          </w:tcPr>
          <w:p w14:paraId="54BE4E9B" w14:textId="77777777" w:rsidR="003E5FCF" w:rsidRDefault="00000000">
            <w:pPr>
              <w:keepNext/>
              <w:keepLines/>
              <w:spacing w:after="0" w:line="240" w:lineRule="auto"/>
            </w:pPr>
            <w:r>
              <w:rPr>
                <w:sz w:val="18"/>
              </w:rPr>
              <w:t>92211</w:t>
            </w:r>
          </w:p>
        </w:tc>
        <w:tc>
          <w:tcPr>
            <w:tcW w:w="3180" w:type="dxa"/>
            <w:tcMar>
              <w:top w:w="0" w:type="dxa"/>
              <w:bottom w:w="0" w:type="dxa"/>
            </w:tcMar>
            <w:vAlign w:val="center"/>
          </w:tcPr>
          <w:p w14:paraId="23DA655B" w14:textId="77777777" w:rsidR="003E5FCF"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0C6F0DC2" w14:textId="77777777" w:rsidR="003E5FCF" w:rsidRDefault="00000000">
            <w:pPr>
              <w:keepNext/>
              <w:keepLines/>
              <w:spacing w:after="0" w:line="240" w:lineRule="auto"/>
            </w:pPr>
            <w:r>
              <w:rPr>
                <w:sz w:val="18"/>
              </w:rPr>
              <w:t>92211</w:t>
            </w:r>
          </w:p>
        </w:tc>
        <w:tc>
          <w:tcPr>
            <w:tcW w:w="1860" w:type="dxa"/>
            <w:tcMar>
              <w:top w:w="0" w:type="dxa"/>
              <w:bottom w:w="0" w:type="dxa"/>
            </w:tcMar>
            <w:vAlign w:val="center"/>
          </w:tcPr>
          <w:p w14:paraId="1B6F79B6" w14:textId="77777777" w:rsidR="003E5FCF" w:rsidRDefault="00000000">
            <w:pPr>
              <w:keepNext/>
              <w:keepLines/>
              <w:spacing w:after="0" w:line="240" w:lineRule="auto"/>
              <w:jc w:val="right"/>
            </w:pPr>
            <w:r>
              <w:rPr>
                <w:sz w:val="18"/>
              </w:rPr>
              <w:t>446.995,20</w:t>
            </w:r>
          </w:p>
        </w:tc>
        <w:tc>
          <w:tcPr>
            <w:tcW w:w="1860" w:type="dxa"/>
            <w:tcMar>
              <w:top w:w="0" w:type="dxa"/>
              <w:bottom w:w="0" w:type="dxa"/>
            </w:tcMar>
            <w:vAlign w:val="center"/>
          </w:tcPr>
          <w:p w14:paraId="1E9CF15E" w14:textId="77777777" w:rsidR="003E5FCF" w:rsidRDefault="00000000">
            <w:pPr>
              <w:keepNext/>
              <w:keepLines/>
              <w:spacing w:after="0" w:line="240" w:lineRule="auto"/>
              <w:jc w:val="right"/>
            </w:pPr>
            <w:r>
              <w:rPr>
                <w:sz w:val="18"/>
              </w:rPr>
              <w:t>50.773,72</w:t>
            </w:r>
          </w:p>
        </w:tc>
        <w:tc>
          <w:tcPr>
            <w:tcW w:w="700" w:type="dxa"/>
            <w:tcMar>
              <w:top w:w="0" w:type="dxa"/>
              <w:bottom w:w="0" w:type="dxa"/>
            </w:tcMar>
            <w:vAlign w:val="center"/>
          </w:tcPr>
          <w:p w14:paraId="05E46A1C" w14:textId="77777777" w:rsidR="003E5FCF" w:rsidRDefault="00000000">
            <w:pPr>
              <w:keepNext/>
              <w:keepLines/>
              <w:spacing w:after="0" w:line="240" w:lineRule="auto"/>
              <w:jc w:val="right"/>
            </w:pPr>
            <w:r>
              <w:rPr>
                <w:sz w:val="18"/>
              </w:rPr>
              <w:t>11,4</w:t>
            </w:r>
          </w:p>
        </w:tc>
      </w:tr>
    </w:tbl>
    <w:p w14:paraId="4AF43C12" w14:textId="77777777" w:rsidR="003E5FCF" w:rsidRDefault="003E5FCF">
      <w:pPr>
        <w:spacing w:after="0"/>
      </w:pPr>
    </w:p>
    <w:p w14:paraId="16B16172" w14:textId="77777777" w:rsidR="003E5FCF" w:rsidRDefault="00000000">
      <w:r>
        <w:t>Dana 15. svibnja 2025. godine izvršena je raspodjela rezultata. U okviru raspodjele manjak prihoda od nefinancijske imovine na računu 92222 u iznosu od 307.874,34 EUR (po izvoru financiranja: opći prihodi), pokriven je viškom prihoda poslovanja na računu 92211 u istom iznosu i po istom izvoru financiranja. Tijekom 2024. godine utrošen je značajan dio viška prihoda iz ranijih godina. Taj višak je korišten za isplatu plaće za prosinac 2024. godine i nabavu opreme za nove dječje boravke nakon rekonstrukcije i proširenja vrtića. U 2025. godini na raspolaganju je bilo 50.773,72 EUR prihoda iz prethodnih godina, od čega je gotovo cjelokupan iznos utrošen na rashode za plaće, ukupno 49.892,34 EUR.</w:t>
      </w:r>
    </w:p>
    <w:p w14:paraId="2DF42343" w14:textId="77777777" w:rsidR="003E5FCF" w:rsidRDefault="003E5FCF"/>
    <w:p w14:paraId="09F99ACF" w14:textId="77777777" w:rsidR="003E5FCF"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334B09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B4A607"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524889"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B5A27D"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274C7B"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ADF7EE"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0D38DB" w14:textId="77777777" w:rsidR="003E5FCF" w:rsidRDefault="00000000">
            <w:pPr>
              <w:keepNext/>
              <w:keepLines/>
              <w:spacing w:after="0" w:line="240" w:lineRule="auto"/>
              <w:jc w:val="center"/>
            </w:pPr>
            <w:r>
              <w:rPr>
                <w:b/>
                <w:sz w:val="18"/>
              </w:rPr>
              <w:t>Indeks (%)</w:t>
            </w:r>
          </w:p>
        </w:tc>
      </w:tr>
      <w:tr w:rsidR="003E5FCF" w14:paraId="2A58593D" w14:textId="77777777">
        <w:tblPrEx>
          <w:tblCellMar>
            <w:top w:w="0" w:type="dxa"/>
            <w:bottom w:w="0" w:type="dxa"/>
          </w:tblCellMar>
        </w:tblPrEx>
        <w:trPr>
          <w:cantSplit/>
          <w:trHeight w:val="560"/>
        </w:trPr>
        <w:tc>
          <w:tcPr>
            <w:tcW w:w="700" w:type="dxa"/>
            <w:tcMar>
              <w:top w:w="0" w:type="dxa"/>
              <w:bottom w:w="0" w:type="dxa"/>
            </w:tcMar>
            <w:vAlign w:val="center"/>
          </w:tcPr>
          <w:p w14:paraId="60C286BB" w14:textId="77777777" w:rsidR="003E5FCF" w:rsidRDefault="00000000">
            <w:pPr>
              <w:keepNext/>
              <w:keepLines/>
              <w:spacing w:after="0" w:line="240" w:lineRule="auto"/>
            </w:pPr>
            <w:r>
              <w:rPr>
                <w:sz w:val="18"/>
              </w:rPr>
              <w:t>4227</w:t>
            </w:r>
          </w:p>
        </w:tc>
        <w:tc>
          <w:tcPr>
            <w:tcW w:w="3180" w:type="dxa"/>
            <w:tcMar>
              <w:top w:w="0" w:type="dxa"/>
              <w:bottom w:w="0" w:type="dxa"/>
            </w:tcMar>
            <w:vAlign w:val="center"/>
          </w:tcPr>
          <w:p w14:paraId="21B7AEAB" w14:textId="77777777" w:rsidR="003E5FCF"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1EB49DD4" w14:textId="77777777" w:rsidR="003E5FCF" w:rsidRDefault="00000000">
            <w:pPr>
              <w:keepNext/>
              <w:keepLines/>
              <w:spacing w:after="0" w:line="240" w:lineRule="auto"/>
            </w:pPr>
            <w:r>
              <w:rPr>
                <w:sz w:val="18"/>
              </w:rPr>
              <w:t>4227</w:t>
            </w:r>
          </w:p>
        </w:tc>
        <w:tc>
          <w:tcPr>
            <w:tcW w:w="1860" w:type="dxa"/>
            <w:tcMar>
              <w:top w:w="0" w:type="dxa"/>
              <w:bottom w:w="0" w:type="dxa"/>
            </w:tcMar>
            <w:vAlign w:val="center"/>
          </w:tcPr>
          <w:p w14:paraId="1217A157" w14:textId="77777777" w:rsidR="003E5FCF" w:rsidRDefault="00000000">
            <w:pPr>
              <w:keepNext/>
              <w:keepLines/>
              <w:spacing w:after="0" w:line="240" w:lineRule="auto"/>
              <w:jc w:val="right"/>
            </w:pPr>
            <w:r>
              <w:rPr>
                <w:sz w:val="18"/>
              </w:rPr>
              <w:t>29.687,70</w:t>
            </w:r>
          </w:p>
        </w:tc>
        <w:tc>
          <w:tcPr>
            <w:tcW w:w="1860" w:type="dxa"/>
            <w:tcMar>
              <w:top w:w="0" w:type="dxa"/>
              <w:bottom w:w="0" w:type="dxa"/>
            </w:tcMar>
            <w:vAlign w:val="center"/>
          </w:tcPr>
          <w:p w14:paraId="2F95397C" w14:textId="77777777" w:rsidR="003E5FCF" w:rsidRDefault="00000000">
            <w:pPr>
              <w:keepNext/>
              <w:keepLines/>
              <w:spacing w:after="0" w:line="240" w:lineRule="auto"/>
              <w:jc w:val="right"/>
            </w:pPr>
            <w:r>
              <w:rPr>
                <w:sz w:val="18"/>
              </w:rPr>
              <w:t>1.593,22</w:t>
            </w:r>
          </w:p>
        </w:tc>
        <w:tc>
          <w:tcPr>
            <w:tcW w:w="700" w:type="dxa"/>
            <w:tcMar>
              <w:top w:w="0" w:type="dxa"/>
              <w:bottom w:w="0" w:type="dxa"/>
            </w:tcMar>
            <w:vAlign w:val="center"/>
          </w:tcPr>
          <w:p w14:paraId="0ACB0A57" w14:textId="77777777" w:rsidR="003E5FCF" w:rsidRDefault="00000000">
            <w:pPr>
              <w:keepNext/>
              <w:keepLines/>
              <w:spacing w:after="0" w:line="240" w:lineRule="auto"/>
              <w:jc w:val="right"/>
            </w:pPr>
            <w:r>
              <w:rPr>
                <w:sz w:val="18"/>
              </w:rPr>
              <w:t>5,4</w:t>
            </w:r>
          </w:p>
        </w:tc>
      </w:tr>
    </w:tbl>
    <w:p w14:paraId="1A644464" w14:textId="77777777" w:rsidR="003E5FCF" w:rsidRDefault="003E5FCF">
      <w:pPr>
        <w:spacing w:after="0"/>
      </w:pPr>
    </w:p>
    <w:p w14:paraId="13A071E5" w14:textId="77777777" w:rsidR="003E5FCF" w:rsidRDefault="00000000">
      <w:r>
        <w:t xml:space="preserve">U izvještajnom razdoblju ostvareni su rashodi za nabavu nefinancijske imovine u iznosu 1.593,22 EUR. Nabavljena su dva službena mobilna uređaja, parna postaja za glačanje, akumulatorska bušilica te računalo za računovodstvo. Ostvareno je 5,4% rashoda u odnosu na prethodnu godinu. Razlog: prethodne godine je nabavljena oprema za nove dječje boravke </w:t>
      </w:r>
      <w:proofErr w:type="spellStart"/>
      <w:r>
        <w:t>igrađene</w:t>
      </w:r>
      <w:proofErr w:type="spellEnd"/>
      <w:r>
        <w:t xml:space="preserve"> nakon rekonstrukcije i proširenja vrtića za što u 2025. godini nije bilo potrebe. </w:t>
      </w:r>
    </w:p>
    <w:p w14:paraId="0D3E0F33" w14:textId="77777777" w:rsidR="003E5FCF" w:rsidRDefault="003E5FCF"/>
    <w:p w14:paraId="20D9C310" w14:textId="77777777" w:rsidR="003E5FCF"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567589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1D04BE"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4BD540"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40C521"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D74466"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67ECD8"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F61AF9" w14:textId="77777777" w:rsidR="003E5FCF" w:rsidRDefault="00000000">
            <w:pPr>
              <w:keepNext/>
              <w:keepLines/>
              <w:spacing w:after="0" w:line="240" w:lineRule="auto"/>
              <w:jc w:val="center"/>
            </w:pPr>
            <w:r>
              <w:rPr>
                <w:b/>
                <w:sz w:val="18"/>
              </w:rPr>
              <w:t>Indeks (%)</w:t>
            </w:r>
          </w:p>
        </w:tc>
      </w:tr>
      <w:tr w:rsidR="003E5FCF" w14:paraId="5E45A5F3" w14:textId="77777777">
        <w:tblPrEx>
          <w:tblCellMar>
            <w:top w:w="0" w:type="dxa"/>
            <w:bottom w:w="0" w:type="dxa"/>
          </w:tblCellMar>
        </w:tblPrEx>
        <w:trPr>
          <w:cantSplit/>
          <w:trHeight w:val="560"/>
        </w:trPr>
        <w:tc>
          <w:tcPr>
            <w:tcW w:w="700" w:type="dxa"/>
            <w:tcMar>
              <w:top w:w="0" w:type="dxa"/>
              <w:bottom w:w="0" w:type="dxa"/>
            </w:tcMar>
            <w:vAlign w:val="center"/>
          </w:tcPr>
          <w:p w14:paraId="7631015A" w14:textId="77777777" w:rsidR="003E5FCF" w:rsidRDefault="003E5FCF">
            <w:pPr>
              <w:keepNext/>
              <w:keepLines/>
              <w:spacing w:after="0" w:line="240" w:lineRule="auto"/>
            </w:pPr>
          </w:p>
        </w:tc>
        <w:tc>
          <w:tcPr>
            <w:tcW w:w="3180" w:type="dxa"/>
            <w:tcMar>
              <w:top w:w="0" w:type="dxa"/>
              <w:bottom w:w="0" w:type="dxa"/>
            </w:tcMar>
            <w:vAlign w:val="center"/>
          </w:tcPr>
          <w:p w14:paraId="510DCBA9" w14:textId="77777777" w:rsidR="003E5FCF"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194AF6E0" w14:textId="77777777" w:rsidR="003E5FCF" w:rsidRDefault="00000000">
            <w:pPr>
              <w:keepNext/>
              <w:keepLines/>
              <w:spacing w:after="0" w:line="240" w:lineRule="auto"/>
            </w:pPr>
            <w:r>
              <w:rPr>
                <w:sz w:val="18"/>
              </w:rPr>
              <w:t>Y006</w:t>
            </w:r>
          </w:p>
        </w:tc>
        <w:tc>
          <w:tcPr>
            <w:tcW w:w="1860" w:type="dxa"/>
            <w:tcMar>
              <w:top w:w="0" w:type="dxa"/>
              <w:bottom w:w="0" w:type="dxa"/>
            </w:tcMar>
            <w:vAlign w:val="center"/>
          </w:tcPr>
          <w:p w14:paraId="6BEDB91A" w14:textId="77777777" w:rsidR="003E5FCF" w:rsidRDefault="00000000">
            <w:pPr>
              <w:keepNext/>
              <w:keepLines/>
              <w:spacing w:after="0" w:line="240" w:lineRule="auto"/>
              <w:jc w:val="right"/>
            </w:pPr>
            <w:r>
              <w:rPr>
                <w:sz w:val="18"/>
              </w:rPr>
              <w:t>0,00</w:t>
            </w:r>
          </w:p>
        </w:tc>
        <w:tc>
          <w:tcPr>
            <w:tcW w:w="1860" w:type="dxa"/>
            <w:tcMar>
              <w:top w:w="0" w:type="dxa"/>
              <w:bottom w:w="0" w:type="dxa"/>
            </w:tcMar>
            <w:vAlign w:val="center"/>
          </w:tcPr>
          <w:p w14:paraId="19E31076" w14:textId="77777777" w:rsidR="003E5FCF" w:rsidRDefault="00000000">
            <w:pPr>
              <w:keepNext/>
              <w:keepLines/>
              <w:spacing w:after="0" w:line="240" w:lineRule="auto"/>
              <w:jc w:val="right"/>
            </w:pPr>
            <w:r>
              <w:rPr>
                <w:sz w:val="18"/>
              </w:rPr>
              <w:t>62.044,66</w:t>
            </w:r>
          </w:p>
        </w:tc>
        <w:tc>
          <w:tcPr>
            <w:tcW w:w="700" w:type="dxa"/>
            <w:tcMar>
              <w:top w:w="0" w:type="dxa"/>
              <w:bottom w:w="0" w:type="dxa"/>
            </w:tcMar>
            <w:vAlign w:val="center"/>
          </w:tcPr>
          <w:p w14:paraId="36FB35A4" w14:textId="77777777" w:rsidR="003E5FCF" w:rsidRDefault="00000000">
            <w:pPr>
              <w:keepNext/>
              <w:keepLines/>
              <w:spacing w:after="0" w:line="240" w:lineRule="auto"/>
              <w:jc w:val="right"/>
            </w:pPr>
            <w:r>
              <w:rPr>
                <w:sz w:val="18"/>
              </w:rPr>
              <w:t>-</w:t>
            </w:r>
          </w:p>
        </w:tc>
      </w:tr>
    </w:tbl>
    <w:p w14:paraId="30FC3F28" w14:textId="77777777" w:rsidR="003E5FCF" w:rsidRDefault="003E5FCF">
      <w:pPr>
        <w:spacing w:after="0"/>
      </w:pPr>
    </w:p>
    <w:p w14:paraId="580FC03D" w14:textId="77777777" w:rsidR="003E5FCF" w:rsidRDefault="00000000">
      <w:r>
        <w:t xml:space="preserve">U financijskom izvještaju vrtića iskazan je manjak u iznosu od 62.044,66 eura, koji je isključivo metodološke prirode te je nastao kao posljedica primjene modificiranog računovodstvenog načela. Manjak je nastao jer je trošak plaće za 12. mjesec 2025. godine evidentiran u </w:t>
      </w:r>
      <w:proofErr w:type="spellStart"/>
      <w:r>
        <w:t>prosinacu</w:t>
      </w:r>
      <w:proofErr w:type="spellEnd"/>
      <w:r>
        <w:t xml:space="preserve"> 2025. godine, dok su sredstva za navedenu plaću doznačena u siječnju 2026. godine te je tada evidentiran prihod. Da su sredstva doznačena do 31. prosinca 2025. godine, financijski rezultat bi bio pozitivan.</w:t>
      </w:r>
    </w:p>
    <w:p w14:paraId="6F4ED4C6" w14:textId="77777777" w:rsidR="003E5FCF" w:rsidRDefault="003E5FCF"/>
    <w:p w14:paraId="3E45B05B" w14:textId="77777777" w:rsidR="003E5FCF" w:rsidRDefault="00000000">
      <w:pPr>
        <w:keepNext/>
        <w:spacing w:line="240" w:lineRule="auto"/>
        <w:jc w:val="center"/>
      </w:pPr>
      <w:r>
        <w:rPr>
          <w:b/>
          <w:sz w:val="28"/>
        </w:rPr>
        <w:t>Bilanca</w:t>
      </w:r>
    </w:p>
    <w:p w14:paraId="128B79CA" w14:textId="77777777" w:rsidR="003E5FCF"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1D8904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CBEEFC"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9C00A8"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D1EEF7"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C973F0" w14:textId="77777777" w:rsidR="003E5FC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71A1D7" w14:textId="77777777" w:rsidR="003E5FC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5AA56C" w14:textId="77777777" w:rsidR="003E5FCF" w:rsidRDefault="00000000">
            <w:pPr>
              <w:keepNext/>
              <w:keepLines/>
              <w:spacing w:after="0" w:line="240" w:lineRule="auto"/>
              <w:jc w:val="center"/>
            </w:pPr>
            <w:r>
              <w:rPr>
                <w:b/>
                <w:sz w:val="18"/>
              </w:rPr>
              <w:t>Indeks (%)</w:t>
            </w:r>
          </w:p>
        </w:tc>
      </w:tr>
      <w:tr w:rsidR="003E5FCF" w14:paraId="58A9D2E4" w14:textId="77777777">
        <w:tblPrEx>
          <w:tblCellMar>
            <w:top w:w="0" w:type="dxa"/>
            <w:bottom w:w="0" w:type="dxa"/>
          </w:tblCellMar>
        </w:tblPrEx>
        <w:trPr>
          <w:cantSplit/>
          <w:trHeight w:val="560"/>
        </w:trPr>
        <w:tc>
          <w:tcPr>
            <w:tcW w:w="700" w:type="dxa"/>
            <w:tcMar>
              <w:top w:w="0" w:type="dxa"/>
              <w:bottom w:w="0" w:type="dxa"/>
            </w:tcMar>
            <w:vAlign w:val="center"/>
          </w:tcPr>
          <w:p w14:paraId="2C8C69F4" w14:textId="77777777" w:rsidR="003E5FCF" w:rsidRDefault="00000000">
            <w:pPr>
              <w:keepNext/>
              <w:keepLines/>
              <w:spacing w:after="0" w:line="240" w:lineRule="auto"/>
            </w:pPr>
            <w:r>
              <w:rPr>
                <w:sz w:val="18"/>
              </w:rPr>
              <w:t>02</w:t>
            </w:r>
          </w:p>
        </w:tc>
        <w:tc>
          <w:tcPr>
            <w:tcW w:w="3180" w:type="dxa"/>
            <w:tcMar>
              <w:top w:w="0" w:type="dxa"/>
              <w:bottom w:w="0" w:type="dxa"/>
            </w:tcMar>
            <w:vAlign w:val="center"/>
          </w:tcPr>
          <w:p w14:paraId="21C97D0D" w14:textId="77777777" w:rsidR="003E5FCF"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49CF132B" w14:textId="77777777" w:rsidR="003E5FCF" w:rsidRDefault="00000000">
            <w:pPr>
              <w:keepNext/>
              <w:keepLines/>
              <w:spacing w:after="0" w:line="240" w:lineRule="auto"/>
            </w:pPr>
            <w:r>
              <w:rPr>
                <w:sz w:val="18"/>
              </w:rPr>
              <w:t>02</w:t>
            </w:r>
          </w:p>
        </w:tc>
        <w:tc>
          <w:tcPr>
            <w:tcW w:w="1860" w:type="dxa"/>
            <w:tcMar>
              <w:top w:w="0" w:type="dxa"/>
              <w:bottom w:w="0" w:type="dxa"/>
            </w:tcMar>
            <w:vAlign w:val="center"/>
          </w:tcPr>
          <w:p w14:paraId="281F4259" w14:textId="77777777" w:rsidR="003E5FCF" w:rsidRDefault="00000000">
            <w:pPr>
              <w:keepNext/>
              <w:keepLines/>
              <w:spacing w:after="0" w:line="240" w:lineRule="auto"/>
              <w:jc w:val="right"/>
            </w:pPr>
            <w:r>
              <w:rPr>
                <w:sz w:val="18"/>
              </w:rPr>
              <w:t>1.770.199,42</w:t>
            </w:r>
          </w:p>
        </w:tc>
        <w:tc>
          <w:tcPr>
            <w:tcW w:w="1860" w:type="dxa"/>
            <w:tcMar>
              <w:top w:w="0" w:type="dxa"/>
              <w:bottom w:w="0" w:type="dxa"/>
            </w:tcMar>
            <w:vAlign w:val="center"/>
          </w:tcPr>
          <w:p w14:paraId="52410F1F" w14:textId="77777777" w:rsidR="003E5FCF" w:rsidRDefault="00000000">
            <w:pPr>
              <w:keepNext/>
              <w:keepLines/>
              <w:spacing w:after="0" w:line="240" w:lineRule="auto"/>
              <w:jc w:val="right"/>
            </w:pPr>
            <w:r>
              <w:rPr>
                <w:sz w:val="18"/>
              </w:rPr>
              <w:t>3.469.525,98</w:t>
            </w:r>
          </w:p>
        </w:tc>
        <w:tc>
          <w:tcPr>
            <w:tcW w:w="700" w:type="dxa"/>
            <w:tcMar>
              <w:top w:w="0" w:type="dxa"/>
              <w:bottom w:w="0" w:type="dxa"/>
            </w:tcMar>
            <w:vAlign w:val="center"/>
          </w:tcPr>
          <w:p w14:paraId="24EDFA58" w14:textId="77777777" w:rsidR="003E5FCF" w:rsidRDefault="00000000">
            <w:pPr>
              <w:keepNext/>
              <w:keepLines/>
              <w:spacing w:after="0" w:line="240" w:lineRule="auto"/>
              <w:jc w:val="right"/>
            </w:pPr>
            <w:r>
              <w:rPr>
                <w:sz w:val="18"/>
              </w:rPr>
              <w:t>196,0</w:t>
            </w:r>
          </w:p>
        </w:tc>
      </w:tr>
    </w:tbl>
    <w:p w14:paraId="060C5544" w14:textId="77777777" w:rsidR="003E5FCF" w:rsidRDefault="003E5FCF">
      <w:pPr>
        <w:spacing w:after="0"/>
      </w:pPr>
    </w:p>
    <w:p w14:paraId="222FBC6A" w14:textId="77777777" w:rsidR="003E5FCF" w:rsidRDefault="00000000">
      <w:r>
        <w:t>Povećanje vrijednosti proizvedene dugotrajne imovine u odnosu na prethodnu godinu rezultat je prijenosa imovine s osnivača Grada Slunja na Dječji vrtić Slunj temeljem odluka, u ukupnom iznosu od 1.711.172,84 eura, nabave opreme u iznosu od 1.593,22 eura te prijenosa imovine iz pripreme u upotrebu u vrijednosti od 45.400,66 eura.</w:t>
      </w:r>
    </w:p>
    <w:p w14:paraId="1C5BF684" w14:textId="77777777" w:rsidR="003E5FCF" w:rsidRDefault="003E5FCF"/>
    <w:p w14:paraId="0F0CEEC9" w14:textId="77777777" w:rsidR="003E5FCF"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7FCC27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315DC5"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E75D14"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EAB4B0"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229769" w14:textId="77777777" w:rsidR="003E5FC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1757F5" w14:textId="77777777" w:rsidR="003E5FC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96306A" w14:textId="77777777" w:rsidR="003E5FCF" w:rsidRDefault="00000000">
            <w:pPr>
              <w:keepNext/>
              <w:keepLines/>
              <w:spacing w:after="0" w:line="240" w:lineRule="auto"/>
              <w:jc w:val="center"/>
            </w:pPr>
            <w:r>
              <w:rPr>
                <w:b/>
                <w:sz w:val="18"/>
              </w:rPr>
              <w:t>Indeks (%)</w:t>
            </w:r>
          </w:p>
        </w:tc>
      </w:tr>
      <w:tr w:rsidR="003E5FCF" w14:paraId="6C1A7F27" w14:textId="77777777">
        <w:tblPrEx>
          <w:tblCellMar>
            <w:top w:w="0" w:type="dxa"/>
            <w:bottom w:w="0" w:type="dxa"/>
          </w:tblCellMar>
        </w:tblPrEx>
        <w:trPr>
          <w:cantSplit/>
          <w:trHeight w:val="560"/>
        </w:trPr>
        <w:tc>
          <w:tcPr>
            <w:tcW w:w="700" w:type="dxa"/>
            <w:tcMar>
              <w:top w:w="0" w:type="dxa"/>
              <w:bottom w:w="0" w:type="dxa"/>
            </w:tcMar>
            <w:vAlign w:val="center"/>
          </w:tcPr>
          <w:p w14:paraId="560AACCC" w14:textId="77777777" w:rsidR="003E5FCF" w:rsidRDefault="00000000">
            <w:pPr>
              <w:keepNext/>
              <w:keepLines/>
              <w:spacing w:after="0" w:line="240" w:lineRule="auto"/>
            </w:pPr>
            <w:r>
              <w:rPr>
                <w:sz w:val="18"/>
              </w:rPr>
              <w:t>129</w:t>
            </w:r>
          </w:p>
        </w:tc>
        <w:tc>
          <w:tcPr>
            <w:tcW w:w="3180" w:type="dxa"/>
            <w:tcMar>
              <w:top w:w="0" w:type="dxa"/>
              <w:bottom w:w="0" w:type="dxa"/>
            </w:tcMar>
            <w:vAlign w:val="center"/>
          </w:tcPr>
          <w:p w14:paraId="7293F356" w14:textId="77777777" w:rsidR="003E5FCF" w:rsidRDefault="00000000">
            <w:pPr>
              <w:keepNext/>
              <w:keepLines/>
              <w:spacing w:after="0" w:line="240" w:lineRule="auto"/>
            </w:pPr>
            <w:r>
              <w:rPr>
                <w:sz w:val="18"/>
              </w:rPr>
              <w:t>Ostala potraživanja</w:t>
            </w:r>
          </w:p>
        </w:tc>
        <w:tc>
          <w:tcPr>
            <w:tcW w:w="700" w:type="dxa"/>
            <w:tcMar>
              <w:top w:w="0" w:type="dxa"/>
              <w:bottom w:w="0" w:type="dxa"/>
            </w:tcMar>
            <w:vAlign w:val="center"/>
          </w:tcPr>
          <w:p w14:paraId="30EB134B" w14:textId="77777777" w:rsidR="003E5FCF" w:rsidRDefault="00000000">
            <w:pPr>
              <w:keepNext/>
              <w:keepLines/>
              <w:spacing w:after="0" w:line="240" w:lineRule="auto"/>
            </w:pPr>
            <w:r>
              <w:rPr>
                <w:sz w:val="18"/>
              </w:rPr>
              <w:t>129</w:t>
            </w:r>
          </w:p>
        </w:tc>
        <w:tc>
          <w:tcPr>
            <w:tcW w:w="1860" w:type="dxa"/>
            <w:tcMar>
              <w:top w:w="0" w:type="dxa"/>
              <w:bottom w:w="0" w:type="dxa"/>
            </w:tcMar>
            <w:vAlign w:val="center"/>
          </w:tcPr>
          <w:p w14:paraId="454FF133" w14:textId="77777777" w:rsidR="003E5FCF" w:rsidRDefault="00000000">
            <w:pPr>
              <w:keepNext/>
              <w:keepLines/>
              <w:spacing w:after="0" w:line="240" w:lineRule="auto"/>
              <w:jc w:val="right"/>
            </w:pPr>
            <w:r>
              <w:rPr>
                <w:sz w:val="18"/>
              </w:rPr>
              <w:t>335,46</w:t>
            </w:r>
          </w:p>
        </w:tc>
        <w:tc>
          <w:tcPr>
            <w:tcW w:w="1860" w:type="dxa"/>
            <w:tcMar>
              <w:top w:w="0" w:type="dxa"/>
              <w:bottom w:w="0" w:type="dxa"/>
            </w:tcMar>
            <w:vAlign w:val="center"/>
          </w:tcPr>
          <w:p w14:paraId="26E4F9E9" w14:textId="77777777" w:rsidR="003E5FCF" w:rsidRDefault="00000000">
            <w:pPr>
              <w:keepNext/>
              <w:keepLines/>
              <w:spacing w:after="0" w:line="240" w:lineRule="auto"/>
              <w:jc w:val="right"/>
            </w:pPr>
            <w:r>
              <w:rPr>
                <w:sz w:val="18"/>
              </w:rPr>
              <w:t>2.227,07</w:t>
            </w:r>
          </w:p>
        </w:tc>
        <w:tc>
          <w:tcPr>
            <w:tcW w:w="700" w:type="dxa"/>
            <w:tcMar>
              <w:top w:w="0" w:type="dxa"/>
              <w:bottom w:w="0" w:type="dxa"/>
            </w:tcMar>
            <w:vAlign w:val="center"/>
          </w:tcPr>
          <w:p w14:paraId="395424F4" w14:textId="77777777" w:rsidR="003E5FCF" w:rsidRDefault="00000000">
            <w:pPr>
              <w:keepNext/>
              <w:keepLines/>
              <w:spacing w:after="0" w:line="240" w:lineRule="auto"/>
              <w:jc w:val="right"/>
            </w:pPr>
            <w:r>
              <w:rPr>
                <w:sz w:val="18"/>
              </w:rPr>
              <w:t>663,9</w:t>
            </w:r>
          </w:p>
        </w:tc>
      </w:tr>
    </w:tbl>
    <w:p w14:paraId="4F8CE531" w14:textId="77777777" w:rsidR="003E5FCF" w:rsidRDefault="003E5FCF">
      <w:pPr>
        <w:spacing w:after="0"/>
      </w:pPr>
    </w:p>
    <w:p w14:paraId="6B416389" w14:textId="77777777" w:rsidR="003E5FCF" w:rsidRDefault="00000000">
      <w:r>
        <w:t>Cjelokupan iznos ostalih potraživanja odnosi se na potraživanje prema Hrvatskom zavoda za zdravstveno osiguranje za naknade koje se refundiraju. </w:t>
      </w:r>
    </w:p>
    <w:p w14:paraId="46947DB3" w14:textId="77777777" w:rsidR="003E5FCF" w:rsidRDefault="003E5FCF"/>
    <w:p w14:paraId="49A70A7A" w14:textId="77777777" w:rsidR="003E5FCF"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6015CE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49CAFB"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FCBECD"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307A1E"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C99ADB" w14:textId="77777777" w:rsidR="003E5FC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4681BF" w14:textId="77777777" w:rsidR="003E5FC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EC7372" w14:textId="77777777" w:rsidR="003E5FCF" w:rsidRDefault="00000000">
            <w:pPr>
              <w:keepNext/>
              <w:keepLines/>
              <w:spacing w:after="0" w:line="240" w:lineRule="auto"/>
              <w:jc w:val="center"/>
            </w:pPr>
            <w:r>
              <w:rPr>
                <w:b/>
                <w:sz w:val="18"/>
              </w:rPr>
              <w:t>Indeks (%)</w:t>
            </w:r>
          </w:p>
        </w:tc>
      </w:tr>
      <w:tr w:rsidR="003E5FCF" w14:paraId="622DB0FA" w14:textId="77777777">
        <w:tblPrEx>
          <w:tblCellMar>
            <w:top w:w="0" w:type="dxa"/>
            <w:bottom w:w="0" w:type="dxa"/>
          </w:tblCellMar>
        </w:tblPrEx>
        <w:trPr>
          <w:cantSplit/>
          <w:trHeight w:val="560"/>
        </w:trPr>
        <w:tc>
          <w:tcPr>
            <w:tcW w:w="700" w:type="dxa"/>
            <w:tcMar>
              <w:top w:w="0" w:type="dxa"/>
              <w:bottom w:w="0" w:type="dxa"/>
            </w:tcMar>
            <w:vAlign w:val="center"/>
          </w:tcPr>
          <w:p w14:paraId="3F9B43A4" w14:textId="77777777" w:rsidR="003E5FCF" w:rsidRDefault="00000000">
            <w:pPr>
              <w:keepNext/>
              <w:keepLines/>
              <w:spacing w:after="0" w:line="240" w:lineRule="auto"/>
            </w:pPr>
            <w:r>
              <w:rPr>
                <w:sz w:val="18"/>
              </w:rPr>
              <w:t>169</w:t>
            </w:r>
          </w:p>
        </w:tc>
        <w:tc>
          <w:tcPr>
            <w:tcW w:w="3180" w:type="dxa"/>
            <w:tcMar>
              <w:top w:w="0" w:type="dxa"/>
              <w:bottom w:w="0" w:type="dxa"/>
            </w:tcMar>
            <w:vAlign w:val="center"/>
          </w:tcPr>
          <w:p w14:paraId="427ED3B4" w14:textId="77777777" w:rsidR="003E5FCF"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168C742A" w14:textId="77777777" w:rsidR="003E5FCF" w:rsidRDefault="00000000">
            <w:pPr>
              <w:keepNext/>
              <w:keepLines/>
              <w:spacing w:after="0" w:line="240" w:lineRule="auto"/>
            </w:pPr>
            <w:r>
              <w:rPr>
                <w:sz w:val="18"/>
              </w:rPr>
              <w:t>169</w:t>
            </w:r>
          </w:p>
        </w:tc>
        <w:tc>
          <w:tcPr>
            <w:tcW w:w="1860" w:type="dxa"/>
            <w:tcMar>
              <w:top w:w="0" w:type="dxa"/>
              <w:bottom w:w="0" w:type="dxa"/>
            </w:tcMar>
            <w:vAlign w:val="center"/>
          </w:tcPr>
          <w:p w14:paraId="25512595" w14:textId="77777777" w:rsidR="003E5FCF" w:rsidRDefault="00000000">
            <w:pPr>
              <w:keepNext/>
              <w:keepLines/>
              <w:spacing w:after="0" w:line="240" w:lineRule="auto"/>
              <w:jc w:val="right"/>
            </w:pPr>
            <w:r>
              <w:rPr>
                <w:sz w:val="18"/>
              </w:rPr>
              <w:t>28.057,06</w:t>
            </w:r>
          </w:p>
        </w:tc>
        <w:tc>
          <w:tcPr>
            <w:tcW w:w="1860" w:type="dxa"/>
            <w:tcMar>
              <w:top w:w="0" w:type="dxa"/>
              <w:bottom w:w="0" w:type="dxa"/>
            </w:tcMar>
            <w:vAlign w:val="center"/>
          </w:tcPr>
          <w:p w14:paraId="351B930E" w14:textId="77777777" w:rsidR="003E5FCF" w:rsidRDefault="00000000">
            <w:pPr>
              <w:keepNext/>
              <w:keepLines/>
              <w:spacing w:after="0" w:line="240" w:lineRule="auto"/>
              <w:jc w:val="right"/>
            </w:pPr>
            <w:r>
              <w:rPr>
                <w:sz w:val="18"/>
              </w:rPr>
              <w:t>28.057,06</w:t>
            </w:r>
          </w:p>
        </w:tc>
        <w:tc>
          <w:tcPr>
            <w:tcW w:w="700" w:type="dxa"/>
            <w:tcMar>
              <w:top w:w="0" w:type="dxa"/>
              <w:bottom w:w="0" w:type="dxa"/>
            </w:tcMar>
            <w:vAlign w:val="center"/>
          </w:tcPr>
          <w:p w14:paraId="7DE55653" w14:textId="77777777" w:rsidR="003E5FCF" w:rsidRDefault="00000000">
            <w:pPr>
              <w:keepNext/>
              <w:keepLines/>
              <w:spacing w:after="0" w:line="240" w:lineRule="auto"/>
              <w:jc w:val="right"/>
            </w:pPr>
            <w:r>
              <w:rPr>
                <w:sz w:val="18"/>
              </w:rPr>
              <w:t>100</w:t>
            </w:r>
          </w:p>
        </w:tc>
      </w:tr>
    </w:tbl>
    <w:p w14:paraId="0DEB465B" w14:textId="77777777" w:rsidR="003E5FCF" w:rsidRDefault="003E5FCF">
      <w:pPr>
        <w:spacing w:after="0"/>
      </w:pPr>
    </w:p>
    <w:p w14:paraId="15F6DB3E" w14:textId="77777777" w:rsidR="003E5FCF" w:rsidRDefault="00000000">
      <w:r>
        <w:t xml:space="preserve">Dječji vrtić Slunj u 2025. godini nije proveo ispravak vrijednosti potraživanja, budući da su sva potraživanja kod kojih je utvrđeno kašnjenje u naplati već ranije ispravljena u iznosu od 100 %. U izvještajnom razdoblju nisu nastala nova potraživanja za koja je </w:t>
      </w:r>
      <w:proofErr w:type="spellStart"/>
      <w:r>
        <w:t>utrvđeno</w:t>
      </w:r>
      <w:proofErr w:type="spellEnd"/>
      <w:r>
        <w:t xml:space="preserve"> kašnjenje u naplati više od dvije godine.</w:t>
      </w:r>
    </w:p>
    <w:p w14:paraId="3A458642" w14:textId="77777777" w:rsidR="003E5FCF" w:rsidRDefault="003E5FCF"/>
    <w:p w14:paraId="183C5650" w14:textId="77777777" w:rsidR="003E5FCF"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3717A7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C807B6"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DCCA5A"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4BB47C"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57F86D" w14:textId="77777777" w:rsidR="003E5FC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E23F58" w14:textId="77777777" w:rsidR="003E5FC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A4F354" w14:textId="77777777" w:rsidR="003E5FCF" w:rsidRDefault="00000000">
            <w:pPr>
              <w:keepNext/>
              <w:keepLines/>
              <w:spacing w:after="0" w:line="240" w:lineRule="auto"/>
              <w:jc w:val="center"/>
            </w:pPr>
            <w:r>
              <w:rPr>
                <w:b/>
                <w:sz w:val="18"/>
              </w:rPr>
              <w:t>Indeks (%)</w:t>
            </w:r>
          </w:p>
        </w:tc>
      </w:tr>
      <w:tr w:rsidR="003E5FCF" w14:paraId="5E1B7304" w14:textId="77777777">
        <w:tblPrEx>
          <w:tblCellMar>
            <w:top w:w="0" w:type="dxa"/>
            <w:bottom w:w="0" w:type="dxa"/>
          </w:tblCellMar>
        </w:tblPrEx>
        <w:trPr>
          <w:cantSplit/>
          <w:trHeight w:val="560"/>
        </w:trPr>
        <w:tc>
          <w:tcPr>
            <w:tcW w:w="700" w:type="dxa"/>
            <w:tcMar>
              <w:top w:w="0" w:type="dxa"/>
              <w:bottom w:w="0" w:type="dxa"/>
            </w:tcMar>
            <w:vAlign w:val="center"/>
          </w:tcPr>
          <w:p w14:paraId="21864AE4" w14:textId="77777777" w:rsidR="003E5FCF" w:rsidRDefault="00000000">
            <w:pPr>
              <w:keepNext/>
              <w:keepLines/>
              <w:spacing w:after="0" w:line="240" w:lineRule="auto"/>
            </w:pPr>
            <w:r>
              <w:rPr>
                <w:sz w:val="18"/>
              </w:rPr>
              <w:t>2</w:t>
            </w:r>
          </w:p>
        </w:tc>
        <w:tc>
          <w:tcPr>
            <w:tcW w:w="3180" w:type="dxa"/>
            <w:tcMar>
              <w:top w:w="0" w:type="dxa"/>
              <w:bottom w:w="0" w:type="dxa"/>
            </w:tcMar>
            <w:vAlign w:val="center"/>
          </w:tcPr>
          <w:p w14:paraId="37F3D549" w14:textId="77777777" w:rsidR="003E5FCF" w:rsidRDefault="00000000">
            <w:pPr>
              <w:keepNext/>
              <w:keepLines/>
              <w:spacing w:after="0" w:line="240" w:lineRule="auto"/>
            </w:pPr>
            <w:r>
              <w:rPr>
                <w:sz w:val="18"/>
              </w:rPr>
              <w:t>Obveze (šifre 23+24+25+26+27+29)</w:t>
            </w:r>
          </w:p>
        </w:tc>
        <w:tc>
          <w:tcPr>
            <w:tcW w:w="700" w:type="dxa"/>
            <w:tcMar>
              <w:top w:w="0" w:type="dxa"/>
              <w:bottom w:w="0" w:type="dxa"/>
            </w:tcMar>
            <w:vAlign w:val="center"/>
          </w:tcPr>
          <w:p w14:paraId="204A1DCC" w14:textId="77777777" w:rsidR="003E5FCF" w:rsidRDefault="00000000">
            <w:pPr>
              <w:keepNext/>
              <w:keepLines/>
              <w:spacing w:after="0" w:line="240" w:lineRule="auto"/>
            </w:pPr>
            <w:r>
              <w:rPr>
                <w:sz w:val="18"/>
              </w:rPr>
              <w:t>2</w:t>
            </w:r>
          </w:p>
        </w:tc>
        <w:tc>
          <w:tcPr>
            <w:tcW w:w="1860" w:type="dxa"/>
            <w:tcMar>
              <w:top w:w="0" w:type="dxa"/>
              <w:bottom w:w="0" w:type="dxa"/>
            </w:tcMar>
            <w:vAlign w:val="center"/>
          </w:tcPr>
          <w:p w14:paraId="5665F180" w14:textId="77777777" w:rsidR="003E5FCF" w:rsidRDefault="00000000">
            <w:pPr>
              <w:keepNext/>
              <w:keepLines/>
              <w:spacing w:after="0" w:line="240" w:lineRule="auto"/>
              <w:jc w:val="right"/>
            </w:pPr>
            <w:r>
              <w:rPr>
                <w:sz w:val="18"/>
              </w:rPr>
              <w:t>83.900,44</w:t>
            </w:r>
          </w:p>
        </w:tc>
        <w:tc>
          <w:tcPr>
            <w:tcW w:w="1860" w:type="dxa"/>
            <w:tcMar>
              <w:top w:w="0" w:type="dxa"/>
              <w:bottom w:w="0" w:type="dxa"/>
            </w:tcMar>
            <w:vAlign w:val="center"/>
          </w:tcPr>
          <w:p w14:paraId="1FEEA5E7" w14:textId="77777777" w:rsidR="003E5FCF" w:rsidRDefault="00000000">
            <w:pPr>
              <w:keepNext/>
              <w:keepLines/>
              <w:spacing w:after="0" w:line="240" w:lineRule="auto"/>
              <w:jc w:val="right"/>
            </w:pPr>
            <w:r>
              <w:rPr>
                <w:sz w:val="18"/>
              </w:rPr>
              <w:t>92.284,78</w:t>
            </w:r>
          </w:p>
        </w:tc>
        <w:tc>
          <w:tcPr>
            <w:tcW w:w="700" w:type="dxa"/>
            <w:tcMar>
              <w:top w:w="0" w:type="dxa"/>
              <w:bottom w:w="0" w:type="dxa"/>
            </w:tcMar>
            <w:vAlign w:val="center"/>
          </w:tcPr>
          <w:p w14:paraId="215F3FB3" w14:textId="77777777" w:rsidR="003E5FCF" w:rsidRDefault="00000000">
            <w:pPr>
              <w:keepNext/>
              <w:keepLines/>
              <w:spacing w:after="0" w:line="240" w:lineRule="auto"/>
              <w:jc w:val="right"/>
            </w:pPr>
            <w:r>
              <w:rPr>
                <w:sz w:val="18"/>
              </w:rPr>
              <w:t>110,0</w:t>
            </w:r>
          </w:p>
        </w:tc>
      </w:tr>
    </w:tbl>
    <w:p w14:paraId="5E185B1C" w14:textId="77777777" w:rsidR="003E5FCF" w:rsidRDefault="003E5FCF">
      <w:pPr>
        <w:spacing w:after="0"/>
      </w:pPr>
    </w:p>
    <w:p w14:paraId="676C2845" w14:textId="77777777" w:rsidR="003E5FCF" w:rsidRDefault="00000000">
      <w:r>
        <w:t>Ukupno stanje obveza na dan 31. prosinca 2025. godine iznosi 92.284,78 EUR. Od navedenog iznosa, 88.855,72 EUR odnosi se na obveze vezane uz plaću za prosinac 2025. godine, koja je isplaćena u siječnju 2026. godine i naknadu za prijevoz na posao i s posla radnicima vrtića, dok se 3.429,06 EUR odnosi na obveze prema dobavljačima za robu i usluge, s dospijećem u siječnju 2026. godine. Sve evidentirane obveze na dan 31. prosinca 2025. godine su nedospjele obveze.</w:t>
      </w:r>
    </w:p>
    <w:p w14:paraId="3B51DCDF" w14:textId="77777777" w:rsidR="003E5FCF" w:rsidRDefault="003E5FCF"/>
    <w:p w14:paraId="4E932FE0" w14:textId="77777777" w:rsidR="003E5FCF"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3F4AAD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A08E8B"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897975"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056D39"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3BF6E1" w14:textId="77777777" w:rsidR="003E5FC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7AE10B" w14:textId="77777777" w:rsidR="003E5FC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182B87" w14:textId="77777777" w:rsidR="003E5FCF" w:rsidRDefault="00000000">
            <w:pPr>
              <w:keepNext/>
              <w:keepLines/>
              <w:spacing w:after="0" w:line="240" w:lineRule="auto"/>
              <w:jc w:val="center"/>
            </w:pPr>
            <w:r>
              <w:rPr>
                <w:b/>
                <w:sz w:val="18"/>
              </w:rPr>
              <w:t>Indeks (%)</w:t>
            </w:r>
          </w:p>
        </w:tc>
      </w:tr>
      <w:tr w:rsidR="003E5FCF" w14:paraId="6E303BB6" w14:textId="77777777">
        <w:tblPrEx>
          <w:tblCellMar>
            <w:top w:w="0" w:type="dxa"/>
            <w:bottom w:w="0" w:type="dxa"/>
          </w:tblCellMar>
        </w:tblPrEx>
        <w:trPr>
          <w:cantSplit/>
          <w:trHeight w:val="560"/>
        </w:trPr>
        <w:tc>
          <w:tcPr>
            <w:tcW w:w="700" w:type="dxa"/>
            <w:tcMar>
              <w:top w:w="0" w:type="dxa"/>
              <w:bottom w:w="0" w:type="dxa"/>
            </w:tcMar>
            <w:vAlign w:val="center"/>
          </w:tcPr>
          <w:p w14:paraId="2EE6C228" w14:textId="77777777" w:rsidR="003E5FCF" w:rsidRDefault="00000000">
            <w:pPr>
              <w:keepNext/>
              <w:keepLines/>
              <w:spacing w:after="0" w:line="240" w:lineRule="auto"/>
            </w:pPr>
            <w:r>
              <w:rPr>
                <w:sz w:val="18"/>
              </w:rPr>
              <w:t>232</w:t>
            </w:r>
          </w:p>
        </w:tc>
        <w:tc>
          <w:tcPr>
            <w:tcW w:w="3180" w:type="dxa"/>
            <w:tcMar>
              <w:top w:w="0" w:type="dxa"/>
              <w:bottom w:w="0" w:type="dxa"/>
            </w:tcMar>
            <w:vAlign w:val="center"/>
          </w:tcPr>
          <w:p w14:paraId="65B33CF0" w14:textId="77777777" w:rsidR="003E5FCF"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2835BD2C" w14:textId="77777777" w:rsidR="003E5FCF" w:rsidRDefault="00000000">
            <w:pPr>
              <w:keepNext/>
              <w:keepLines/>
              <w:spacing w:after="0" w:line="240" w:lineRule="auto"/>
            </w:pPr>
            <w:r>
              <w:rPr>
                <w:sz w:val="18"/>
              </w:rPr>
              <w:t>232</w:t>
            </w:r>
          </w:p>
        </w:tc>
        <w:tc>
          <w:tcPr>
            <w:tcW w:w="1860" w:type="dxa"/>
            <w:tcMar>
              <w:top w:w="0" w:type="dxa"/>
              <w:bottom w:w="0" w:type="dxa"/>
            </w:tcMar>
            <w:vAlign w:val="center"/>
          </w:tcPr>
          <w:p w14:paraId="30A70FBC" w14:textId="77777777" w:rsidR="003E5FCF" w:rsidRDefault="00000000">
            <w:pPr>
              <w:keepNext/>
              <w:keepLines/>
              <w:spacing w:after="0" w:line="240" w:lineRule="auto"/>
              <w:jc w:val="right"/>
            </w:pPr>
            <w:r>
              <w:rPr>
                <w:sz w:val="18"/>
              </w:rPr>
              <w:t>4.171,31</w:t>
            </w:r>
          </w:p>
        </w:tc>
        <w:tc>
          <w:tcPr>
            <w:tcW w:w="1860" w:type="dxa"/>
            <w:tcMar>
              <w:top w:w="0" w:type="dxa"/>
              <w:bottom w:w="0" w:type="dxa"/>
            </w:tcMar>
            <w:vAlign w:val="center"/>
          </w:tcPr>
          <w:p w14:paraId="14137578" w14:textId="77777777" w:rsidR="003E5FCF" w:rsidRDefault="00000000">
            <w:pPr>
              <w:keepNext/>
              <w:keepLines/>
              <w:spacing w:after="0" w:line="240" w:lineRule="auto"/>
              <w:jc w:val="right"/>
            </w:pPr>
            <w:r>
              <w:rPr>
                <w:sz w:val="18"/>
              </w:rPr>
              <w:t>5.055,61</w:t>
            </w:r>
          </w:p>
        </w:tc>
        <w:tc>
          <w:tcPr>
            <w:tcW w:w="700" w:type="dxa"/>
            <w:tcMar>
              <w:top w:w="0" w:type="dxa"/>
              <w:bottom w:w="0" w:type="dxa"/>
            </w:tcMar>
            <w:vAlign w:val="center"/>
          </w:tcPr>
          <w:p w14:paraId="498E2BB9" w14:textId="77777777" w:rsidR="003E5FCF" w:rsidRDefault="00000000">
            <w:pPr>
              <w:keepNext/>
              <w:keepLines/>
              <w:spacing w:after="0" w:line="240" w:lineRule="auto"/>
              <w:jc w:val="right"/>
            </w:pPr>
            <w:r>
              <w:rPr>
                <w:sz w:val="18"/>
              </w:rPr>
              <w:t>121,2</w:t>
            </w:r>
          </w:p>
        </w:tc>
      </w:tr>
    </w:tbl>
    <w:p w14:paraId="4B6F9759" w14:textId="77777777" w:rsidR="003E5FCF" w:rsidRDefault="003E5FCF">
      <w:pPr>
        <w:spacing w:after="0"/>
      </w:pPr>
    </w:p>
    <w:p w14:paraId="130E1045" w14:textId="77777777" w:rsidR="003E5FCF" w:rsidRDefault="00000000">
      <w:r>
        <w:lastRenderedPageBreak/>
        <w:t xml:space="preserve">Obveze za materijalne rashode obuhvaćaju obveze prema dobavljačima za robe i usluge u iznosu 3.424,70 EUR te obvezu za isplatu naknade za prijevoz na posao i s posla radnicima vrtića u iznosu 1.630,91 </w:t>
      </w:r>
      <w:proofErr w:type="spellStart"/>
      <w:r>
        <w:t>eur</w:t>
      </w:r>
      <w:proofErr w:type="spellEnd"/>
      <w:r>
        <w:t>. Računi dobavljača kao i naknada za prijevoz na posao i s posla dospijevaju u siječnju 2026. godine.</w:t>
      </w:r>
    </w:p>
    <w:p w14:paraId="1D92DFDD" w14:textId="77777777" w:rsidR="003E5FCF" w:rsidRDefault="003E5FCF"/>
    <w:p w14:paraId="26A2EEFD" w14:textId="77777777" w:rsidR="003E5FCF"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00E244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B7213F"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8356B6"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A26260"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A4EA0D" w14:textId="77777777" w:rsidR="003E5FC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B39AC9" w14:textId="77777777" w:rsidR="003E5FC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45F559" w14:textId="77777777" w:rsidR="003E5FCF" w:rsidRDefault="00000000">
            <w:pPr>
              <w:keepNext/>
              <w:keepLines/>
              <w:spacing w:after="0" w:line="240" w:lineRule="auto"/>
              <w:jc w:val="center"/>
            </w:pPr>
            <w:r>
              <w:rPr>
                <w:b/>
                <w:sz w:val="18"/>
              </w:rPr>
              <w:t>Indeks (%)</w:t>
            </w:r>
          </w:p>
        </w:tc>
      </w:tr>
      <w:tr w:rsidR="003E5FCF" w14:paraId="6D85A064" w14:textId="77777777">
        <w:tblPrEx>
          <w:tblCellMar>
            <w:top w:w="0" w:type="dxa"/>
            <w:bottom w:w="0" w:type="dxa"/>
          </w:tblCellMar>
        </w:tblPrEx>
        <w:trPr>
          <w:cantSplit/>
          <w:trHeight w:val="560"/>
        </w:trPr>
        <w:tc>
          <w:tcPr>
            <w:tcW w:w="700" w:type="dxa"/>
            <w:tcMar>
              <w:top w:w="0" w:type="dxa"/>
              <w:bottom w:w="0" w:type="dxa"/>
            </w:tcMar>
            <w:vAlign w:val="center"/>
          </w:tcPr>
          <w:p w14:paraId="037C1498" w14:textId="77777777" w:rsidR="003E5FCF" w:rsidRDefault="00000000">
            <w:pPr>
              <w:keepNext/>
              <w:keepLines/>
              <w:spacing w:after="0" w:line="240" w:lineRule="auto"/>
            </w:pPr>
            <w:r>
              <w:rPr>
                <w:sz w:val="18"/>
              </w:rPr>
              <w:t>922</w:t>
            </w:r>
          </w:p>
        </w:tc>
        <w:tc>
          <w:tcPr>
            <w:tcW w:w="3180" w:type="dxa"/>
            <w:tcMar>
              <w:top w:w="0" w:type="dxa"/>
              <w:bottom w:w="0" w:type="dxa"/>
            </w:tcMar>
            <w:vAlign w:val="center"/>
          </w:tcPr>
          <w:p w14:paraId="4A2EB76D" w14:textId="77777777" w:rsidR="003E5FCF"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7D3FBC60" w14:textId="77777777" w:rsidR="003E5FCF" w:rsidRDefault="00000000">
            <w:pPr>
              <w:keepNext/>
              <w:keepLines/>
              <w:spacing w:after="0" w:line="240" w:lineRule="auto"/>
            </w:pPr>
            <w:r>
              <w:rPr>
                <w:sz w:val="18"/>
              </w:rPr>
              <w:t>922</w:t>
            </w:r>
          </w:p>
        </w:tc>
        <w:tc>
          <w:tcPr>
            <w:tcW w:w="1860" w:type="dxa"/>
            <w:tcMar>
              <w:top w:w="0" w:type="dxa"/>
              <w:bottom w:w="0" w:type="dxa"/>
            </w:tcMar>
            <w:vAlign w:val="center"/>
          </w:tcPr>
          <w:p w14:paraId="112A9F6C" w14:textId="77777777" w:rsidR="003E5FCF" w:rsidRDefault="00000000">
            <w:pPr>
              <w:keepNext/>
              <w:keepLines/>
              <w:spacing w:after="0" w:line="240" w:lineRule="auto"/>
              <w:jc w:val="right"/>
            </w:pPr>
            <w:r>
              <w:rPr>
                <w:sz w:val="18"/>
              </w:rPr>
              <w:t>50.773,72</w:t>
            </w:r>
          </w:p>
        </w:tc>
        <w:tc>
          <w:tcPr>
            <w:tcW w:w="1860" w:type="dxa"/>
            <w:tcMar>
              <w:top w:w="0" w:type="dxa"/>
              <w:bottom w:w="0" w:type="dxa"/>
            </w:tcMar>
            <w:vAlign w:val="center"/>
          </w:tcPr>
          <w:p w14:paraId="2B329F1E" w14:textId="77777777" w:rsidR="003E5FCF" w:rsidRDefault="00000000">
            <w:pPr>
              <w:keepNext/>
              <w:keepLines/>
              <w:spacing w:after="0" w:line="240" w:lineRule="auto"/>
              <w:jc w:val="right"/>
            </w:pPr>
            <w:r>
              <w:rPr>
                <w:sz w:val="18"/>
              </w:rPr>
              <w:t>-62.044,66</w:t>
            </w:r>
          </w:p>
        </w:tc>
        <w:tc>
          <w:tcPr>
            <w:tcW w:w="700" w:type="dxa"/>
            <w:tcMar>
              <w:top w:w="0" w:type="dxa"/>
              <w:bottom w:w="0" w:type="dxa"/>
            </w:tcMar>
            <w:vAlign w:val="center"/>
          </w:tcPr>
          <w:p w14:paraId="500F142B" w14:textId="77777777" w:rsidR="003E5FCF" w:rsidRDefault="00000000">
            <w:pPr>
              <w:keepNext/>
              <w:keepLines/>
              <w:spacing w:after="0" w:line="240" w:lineRule="auto"/>
              <w:jc w:val="right"/>
            </w:pPr>
            <w:r>
              <w:rPr>
                <w:sz w:val="18"/>
              </w:rPr>
              <w:t>-122,2</w:t>
            </w:r>
          </w:p>
        </w:tc>
      </w:tr>
    </w:tbl>
    <w:p w14:paraId="3A671650" w14:textId="77777777" w:rsidR="003E5FCF" w:rsidRDefault="003E5FCF">
      <w:pPr>
        <w:spacing w:after="0"/>
      </w:pPr>
    </w:p>
    <w:p w14:paraId="1FCFC9D0" w14:textId="77777777" w:rsidR="003E5FCF" w:rsidRDefault="00000000">
      <w:r>
        <w:t xml:space="preserve">U financijskom izvještaju vrtića iskazan je manjak u iznosu od 62.044,66 eura, koji je isključivo metodološke prirode te je nastao kao posljedica primjene modificiranog računovodstvenog načela. Manjak je nastao jer je trošak plaće za 12. mjesec 2025. godine evidentiran u </w:t>
      </w:r>
      <w:proofErr w:type="spellStart"/>
      <w:r>
        <w:t>prosinacu</w:t>
      </w:r>
      <w:proofErr w:type="spellEnd"/>
      <w:r>
        <w:t xml:space="preserve"> 2025. godine, dok su sredstva za navedenu plaću doznačena u siječnju 2026. godine te je tada evidentiran prihod. Da su sredstva doznačena do 31. prosinca 2025. godine, financijski rezultat bi bio pozitivan.</w:t>
      </w:r>
    </w:p>
    <w:p w14:paraId="017E06BC" w14:textId="77777777" w:rsidR="003E5FCF" w:rsidRDefault="003E5FCF"/>
    <w:p w14:paraId="5AD5096D" w14:textId="77777777" w:rsidR="003E5FCF"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45C80B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D77E1B"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0D9925"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B8D0EB"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33B538" w14:textId="77777777" w:rsidR="003E5FC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BBE3E9" w14:textId="77777777" w:rsidR="003E5FC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232ED3" w14:textId="77777777" w:rsidR="003E5FCF" w:rsidRDefault="00000000">
            <w:pPr>
              <w:keepNext/>
              <w:keepLines/>
              <w:spacing w:after="0" w:line="240" w:lineRule="auto"/>
              <w:jc w:val="center"/>
            </w:pPr>
            <w:r>
              <w:rPr>
                <w:b/>
                <w:sz w:val="18"/>
              </w:rPr>
              <w:t>Indeks (%)</w:t>
            </w:r>
          </w:p>
        </w:tc>
      </w:tr>
      <w:tr w:rsidR="003E5FCF" w14:paraId="242C1994" w14:textId="77777777">
        <w:tblPrEx>
          <w:tblCellMar>
            <w:top w:w="0" w:type="dxa"/>
            <w:bottom w:w="0" w:type="dxa"/>
          </w:tblCellMar>
        </w:tblPrEx>
        <w:trPr>
          <w:cantSplit/>
          <w:trHeight w:val="560"/>
        </w:trPr>
        <w:tc>
          <w:tcPr>
            <w:tcW w:w="700" w:type="dxa"/>
            <w:tcMar>
              <w:top w:w="0" w:type="dxa"/>
              <w:bottom w:w="0" w:type="dxa"/>
            </w:tcMar>
            <w:vAlign w:val="center"/>
          </w:tcPr>
          <w:p w14:paraId="2670E5B7" w14:textId="77777777" w:rsidR="003E5FCF" w:rsidRDefault="00000000">
            <w:pPr>
              <w:keepNext/>
              <w:keepLines/>
              <w:spacing w:after="0" w:line="240" w:lineRule="auto"/>
            </w:pPr>
            <w:r>
              <w:rPr>
                <w:sz w:val="18"/>
              </w:rPr>
              <w:t>12911</w:t>
            </w:r>
          </w:p>
        </w:tc>
        <w:tc>
          <w:tcPr>
            <w:tcW w:w="3180" w:type="dxa"/>
            <w:tcMar>
              <w:top w:w="0" w:type="dxa"/>
              <w:bottom w:w="0" w:type="dxa"/>
            </w:tcMar>
            <w:vAlign w:val="center"/>
          </w:tcPr>
          <w:p w14:paraId="542952C1" w14:textId="77777777" w:rsidR="003E5FCF"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50589592" w14:textId="77777777" w:rsidR="003E5FCF" w:rsidRDefault="00000000">
            <w:pPr>
              <w:keepNext/>
              <w:keepLines/>
              <w:spacing w:after="0" w:line="240" w:lineRule="auto"/>
            </w:pPr>
            <w:r>
              <w:rPr>
                <w:sz w:val="18"/>
              </w:rPr>
              <w:t>12911</w:t>
            </w:r>
          </w:p>
        </w:tc>
        <w:tc>
          <w:tcPr>
            <w:tcW w:w="1860" w:type="dxa"/>
            <w:tcMar>
              <w:top w:w="0" w:type="dxa"/>
              <w:bottom w:w="0" w:type="dxa"/>
            </w:tcMar>
            <w:vAlign w:val="center"/>
          </w:tcPr>
          <w:p w14:paraId="716EEB9C" w14:textId="77777777" w:rsidR="003E5FCF" w:rsidRDefault="00000000">
            <w:pPr>
              <w:keepNext/>
              <w:keepLines/>
              <w:spacing w:after="0" w:line="240" w:lineRule="auto"/>
              <w:jc w:val="right"/>
            </w:pPr>
            <w:r>
              <w:rPr>
                <w:sz w:val="18"/>
              </w:rPr>
              <w:t>139,02</w:t>
            </w:r>
          </w:p>
        </w:tc>
        <w:tc>
          <w:tcPr>
            <w:tcW w:w="1860" w:type="dxa"/>
            <w:tcMar>
              <w:top w:w="0" w:type="dxa"/>
              <w:bottom w:w="0" w:type="dxa"/>
            </w:tcMar>
            <w:vAlign w:val="center"/>
          </w:tcPr>
          <w:p w14:paraId="4751BD40" w14:textId="77777777" w:rsidR="003E5FCF" w:rsidRDefault="00000000">
            <w:pPr>
              <w:keepNext/>
              <w:keepLines/>
              <w:spacing w:after="0" w:line="240" w:lineRule="auto"/>
              <w:jc w:val="right"/>
            </w:pPr>
            <w:r>
              <w:rPr>
                <w:sz w:val="18"/>
              </w:rPr>
              <w:t>2.227,07</w:t>
            </w:r>
          </w:p>
        </w:tc>
        <w:tc>
          <w:tcPr>
            <w:tcW w:w="700" w:type="dxa"/>
            <w:tcMar>
              <w:top w:w="0" w:type="dxa"/>
              <w:bottom w:w="0" w:type="dxa"/>
            </w:tcMar>
            <w:vAlign w:val="center"/>
          </w:tcPr>
          <w:p w14:paraId="25D62A93" w14:textId="77777777" w:rsidR="003E5FCF" w:rsidRDefault="00000000">
            <w:pPr>
              <w:keepNext/>
              <w:keepLines/>
              <w:spacing w:after="0" w:line="240" w:lineRule="auto"/>
              <w:jc w:val="right"/>
            </w:pPr>
            <w:r>
              <w:rPr>
                <w:sz w:val="18"/>
              </w:rPr>
              <w:t>1602,0</w:t>
            </w:r>
          </w:p>
        </w:tc>
      </w:tr>
    </w:tbl>
    <w:p w14:paraId="4ADE03E1" w14:textId="77777777" w:rsidR="003E5FCF" w:rsidRDefault="003E5FCF">
      <w:pPr>
        <w:spacing w:after="0"/>
      </w:pPr>
    </w:p>
    <w:p w14:paraId="4247A2A8" w14:textId="77777777" w:rsidR="003E5FCF" w:rsidRDefault="00000000">
      <w:r>
        <w:t>Potraživanja se odnose na naknade za bolovanja na teret Hrvatskog zavoda za zdravstveno osiguranje za studeni i prosinac 2025. godine, koje je vrtić isplatio radnicima te zatražio refundaciju od Hrvatskog zavoda za zdravstveno osiguranje.</w:t>
      </w:r>
    </w:p>
    <w:p w14:paraId="5137F1A7" w14:textId="77777777" w:rsidR="003E5FCF" w:rsidRDefault="003E5FCF"/>
    <w:p w14:paraId="6A3E7FB6" w14:textId="77777777" w:rsidR="003E5FCF" w:rsidRDefault="00000000">
      <w:pPr>
        <w:keepNext/>
        <w:spacing w:line="240" w:lineRule="auto"/>
        <w:jc w:val="center"/>
      </w:pPr>
      <w:r>
        <w:rPr>
          <w:b/>
          <w:sz w:val="28"/>
        </w:rPr>
        <w:t>Izvještaj o rashodima prema funkcijskoj klasifikaciji</w:t>
      </w:r>
    </w:p>
    <w:p w14:paraId="7AB66678" w14:textId="77777777" w:rsidR="003E5FCF"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5C1374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860560"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89106A"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47727F"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00509F" w14:textId="77777777" w:rsidR="003E5FC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21BF7A" w14:textId="77777777" w:rsidR="003E5FC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BB6B63" w14:textId="77777777" w:rsidR="003E5FCF" w:rsidRDefault="00000000">
            <w:pPr>
              <w:keepNext/>
              <w:keepLines/>
              <w:spacing w:after="0" w:line="240" w:lineRule="auto"/>
              <w:jc w:val="center"/>
            </w:pPr>
            <w:r>
              <w:rPr>
                <w:b/>
                <w:sz w:val="18"/>
              </w:rPr>
              <w:t>Indeks (%)</w:t>
            </w:r>
          </w:p>
        </w:tc>
      </w:tr>
      <w:tr w:rsidR="003E5FCF" w14:paraId="28C330A1" w14:textId="77777777">
        <w:tblPrEx>
          <w:tblCellMar>
            <w:top w:w="0" w:type="dxa"/>
            <w:bottom w:w="0" w:type="dxa"/>
          </w:tblCellMar>
        </w:tblPrEx>
        <w:trPr>
          <w:cantSplit/>
          <w:trHeight w:val="560"/>
        </w:trPr>
        <w:tc>
          <w:tcPr>
            <w:tcW w:w="700" w:type="dxa"/>
            <w:tcMar>
              <w:top w:w="0" w:type="dxa"/>
              <w:bottom w:w="0" w:type="dxa"/>
            </w:tcMar>
            <w:vAlign w:val="center"/>
          </w:tcPr>
          <w:p w14:paraId="715814AD" w14:textId="77777777" w:rsidR="003E5FCF" w:rsidRDefault="00000000">
            <w:pPr>
              <w:keepNext/>
              <w:keepLines/>
              <w:spacing w:after="0" w:line="240" w:lineRule="auto"/>
            </w:pPr>
            <w:r>
              <w:rPr>
                <w:sz w:val="18"/>
              </w:rPr>
              <w:t>0911</w:t>
            </w:r>
          </w:p>
        </w:tc>
        <w:tc>
          <w:tcPr>
            <w:tcW w:w="3180" w:type="dxa"/>
            <w:tcMar>
              <w:top w:w="0" w:type="dxa"/>
              <w:bottom w:w="0" w:type="dxa"/>
            </w:tcMar>
            <w:vAlign w:val="center"/>
          </w:tcPr>
          <w:p w14:paraId="5B1E17A6" w14:textId="77777777" w:rsidR="003E5FCF" w:rsidRDefault="00000000">
            <w:pPr>
              <w:keepNext/>
              <w:keepLines/>
              <w:spacing w:after="0" w:line="240" w:lineRule="auto"/>
            </w:pPr>
            <w:r>
              <w:rPr>
                <w:sz w:val="18"/>
              </w:rPr>
              <w:t>Predškolsko obrazovanje</w:t>
            </w:r>
          </w:p>
        </w:tc>
        <w:tc>
          <w:tcPr>
            <w:tcW w:w="700" w:type="dxa"/>
            <w:tcMar>
              <w:top w:w="0" w:type="dxa"/>
              <w:bottom w:w="0" w:type="dxa"/>
            </w:tcMar>
            <w:vAlign w:val="center"/>
          </w:tcPr>
          <w:p w14:paraId="2C7E1D3D" w14:textId="77777777" w:rsidR="003E5FCF" w:rsidRDefault="00000000">
            <w:pPr>
              <w:keepNext/>
              <w:keepLines/>
              <w:spacing w:after="0" w:line="240" w:lineRule="auto"/>
            </w:pPr>
            <w:r>
              <w:rPr>
                <w:sz w:val="18"/>
              </w:rPr>
              <w:t>0911</w:t>
            </w:r>
          </w:p>
        </w:tc>
        <w:tc>
          <w:tcPr>
            <w:tcW w:w="1860" w:type="dxa"/>
            <w:tcMar>
              <w:top w:w="0" w:type="dxa"/>
              <w:bottom w:w="0" w:type="dxa"/>
            </w:tcMar>
            <w:vAlign w:val="center"/>
          </w:tcPr>
          <w:p w14:paraId="7D347025" w14:textId="77777777" w:rsidR="003E5FCF" w:rsidRDefault="00000000">
            <w:pPr>
              <w:keepNext/>
              <w:keepLines/>
              <w:spacing w:after="0" w:line="240" w:lineRule="auto"/>
              <w:jc w:val="right"/>
            </w:pPr>
            <w:r>
              <w:rPr>
                <w:sz w:val="18"/>
              </w:rPr>
              <w:t>1.116.655,88</w:t>
            </w:r>
          </w:p>
        </w:tc>
        <w:tc>
          <w:tcPr>
            <w:tcW w:w="1860" w:type="dxa"/>
            <w:tcMar>
              <w:top w:w="0" w:type="dxa"/>
              <w:bottom w:w="0" w:type="dxa"/>
            </w:tcMar>
            <w:vAlign w:val="center"/>
          </w:tcPr>
          <w:p w14:paraId="5FBF241D" w14:textId="77777777" w:rsidR="003E5FCF" w:rsidRDefault="00000000">
            <w:pPr>
              <w:keepNext/>
              <w:keepLines/>
              <w:spacing w:after="0" w:line="240" w:lineRule="auto"/>
              <w:jc w:val="right"/>
            </w:pPr>
            <w:r>
              <w:rPr>
                <w:sz w:val="18"/>
              </w:rPr>
              <w:t>1.237.936,63</w:t>
            </w:r>
          </w:p>
        </w:tc>
        <w:tc>
          <w:tcPr>
            <w:tcW w:w="700" w:type="dxa"/>
            <w:tcMar>
              <w:top w:w="0" w:type="dxa"/>
              <w:bottom w:w="0" w:type="dxa"/>
            </w:tcMar>
            <w:vAlign w:val="center"/>
          </w:tcPr>
          <w:p w14:paraId="42D9634C" w14:textId="77777777" w:rsidR="003E5FCF" w:rsidRDefault="00000000">
            <w:pPr>
              <w:keepNext/>
              <w:keepLines/>
              <w:spacing w:after="0" w:line="240" w:lineRule="auto"/>
              <w:jc w:val="right"/>
            </w:pPr>
            <w:r>
              <w:rPr>
                <w:sz w:val="18"/>
              </w:rPr>
              <w:t>110,9</w:t>
            </w:r>
          </w:p>
        </w:tc>
      </w:tr>
    </w:tbl>
    <w:p w14:paraId="632D580B" w14:textId="77777777" w:rsidR="003E5FCF" w:rsidRDefault="003E5FCF">
      <w:pPr>
        <w:spacing w:after="0"/>
      </w:pPr>
    </w:p>
    <w:p w14:paraId="5D9789BE" w14:textId="77777777" w:rsidR="003E5FCF" w:rsidRDefault="00000000">
      <w:r>
        <w:t xml:space="preserve">Izvještaj o rashodima prema funkcijskoj klasifikaciji sadržava rashode poslovanja (razred 3) i rashode za nabavu nefinancijske imovine (razred 4) iskazane prema funkcijama u koje su utrošeni. Klasifikacija funkcija države sadržava 10 osnovnih funkcija prema kojima se </w:t>
      </w:r>
      <w:r>
        <w:lastRenderedPageBreak/>
        <w:t>razvrstavaju rashodi čime se omogućava informacija koliko je rashoda utrošeno na svaku pojedinu funkciju.</w:t>
      </w:r>
    </w:p>
    <w:p w14:paraId="198C1F82" w14:textId="77777777" w:rsidR="003E5FCF" w:rsidRDefault="00000000">
      <w:r>
        <w:t>Dječji vrtić Slunj, uzimajući u obzir zakonodavni okvir, svoje rashode iskazuju na funkciji 0911 Predškolsko obrazovanje.</w:t>
      </w:r>
    </w:p>
    <w:p w14:paraId="2FA17DC4" w14:textId="77777777" w:rsidR="003E5FCF" w:rsidRDefault="00000000">
      <w:r>
        <w:t>Dječji vrtić Slunj je u 2025. godini ostvario ukupni rashod u iznosu 1.237.936,63 EUR. Ukupan iznos rashoda odnosi se na funkciju 0911 Predškolsko obrazovanje.</w:t>
      </w:r>
    </w:p>
    <w:p w14:paraId="6162A33D" w14:textId="77777777" w:rsidR="003E5FCF" w:rsidRDefault="00000000">
      <w:r>
        <w:t>U odnosu na prošlu godinu ostvareno je 10,9% više rashoda zbog povećanja osnovice za obračun plaće tijekom 2025. godine, zapošljavanja sedam novih radnika  razdoblju od rujna do prosinca 2024. godine čiji se puni učinak odrazio na tekuće razdoblje te globalnog trenda rasta cijena robe i usluga.</w:t>
      </w:r>
    </w:p>
    <w:p w14:paraId="201D4F9A" w14:textId="77777777" w:rsidR="003E5FCF" w:rsidRDefault="003E5FCF"/>
    <w:p w14:paraId="1F8384C3" w14:textId="77777777" w:rsidR="003E5FCF" w:rsidRDefault="00000000">
      <w:pPr>
        <w:keepNext/>
        <w:spacing w:line="240" w:lineRule="auto"/>
        <w:jc w:val="center"/>
      </w:pPr>
      <w:r>
        <w:rPr>
          <w:b/>
          <w:sz w:val="28"/>
        </w:rPr>
        <w:t>Promjene u vrijednosti i obujmu imovine i obveza</w:t>
      </w:r>
    </w:p>
    <w:p w14:paraId="13890110" w14:textId="77777777" w:rsidR="003E5FCF"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74A5C2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FA7C96"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8A3BB0"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20CDCA"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83AC14" w14:textId="77777777" w:rsidR="003E5FCF"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66D521C" w14:textId="77777777" w:rsidR="003E5FCF"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AF3C3A6" w14:textId="77777777" w:rsidR="003E5FCF" w:rsidRDefault="00000000">
            <w:pPr>
              <w:keepNext/>
              <w:keepLines/>
              <w:spacing w:after="0" w:line="240" w:lineRule="auto"/>
              <w:jc w:val="center"/>
            </w:pPr>
            <w:r>
              <w:rPr>
                <w:b/>
                <w:sz w:val="18"/>
              </w:rPr>
              <w:t>Indeks (%)</w:t>
            </w:r>
          </w:p>
        </w:tc>
      </w:tr>
      <w:tr w:rsidR="003E5FCF" w14:paraId="3494FAE8" w14:textId="77777777">
        <w:tblPrEx>
          <w:tblCellMar>
            <w:top w:w="0" w:type="dxa"/>
            <w:bottom w:w="0" w:type="dxa"/>
          </w:tblCellMar>
        </w:tblPrEx>
        <w:trPr>
          <w:cantSplit/>
          <w:trHeight w:val="560"/>
        </w:trPr>
        <w:tc>
          <w:tcPr>
            <w:tcW w:w="700" w:type="dxa"/>
            <w:tcMar>
              <w:top w:w="0" w:type="dxa"/>
              <w:bottom w:w="0" w:type="dxa"/>
            </w:tcMar>
            <w:vAlign w:val="center"/>
          </w:tcPr>
          <w:p w14:paraId="16217518" w14:textId="77777777" w:rsidR="003E5FCF" w:rsidRDefault="003E5FCF">
            <w:pPr>
              <w:keepNext/>
              <w:keepLines/>
              <w:spacing w:after="0" w:line="240" w:lineRule="auto"/>
            </w:pPr>
          </w:p>
        </w:tc>
        <w:tc>
          <w:tcPr>
            <w:tcW w:w="3180" w:type="dxa"/>
            <w:tcMar>
              <w:top w:w="0" w:type="dxa"/>
              <w:bottom w:w="0" w:type="dxa"/>
            </w:tcMar>
            <w:vAlign w:val="center"/>
          </w:tcPr>
          <w:p w14:paraId="1C95DFEE" w14:textId="77777777" w:rsidR="003E5FCF"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3CBC6881" w14:textId="77777777" w:rsidR="003E5FCF" w:rsidRDefault="00000000">
            <w:pPr>
              <w:keepNext/>
              <w:keepLines/>
              <w:spacing w:after="0" w:line="240" w:lineRule="auto"/>
            </w:pPr>
            <w:r>
              <w:rPr>
                <w:sz w:val="18"/>
              </w:rPr>
              <w:t>P003</w:t>
            </w:r>
          </w:p>
        </w:tc>
        <w:tc>
          <w:tcPr>
            <w:tcW w:w="1860" w:type="dxa"/>
            <w:tcMar>
              <w:top w:w="0" w:type="dxa"/>
              <w:bottom w:w="0" w:type="dxa"/>
            </w:tcMar>
            <w:vAlign w:val="center"/>
          </w:tcPr>
          <w:p w14:paraId="2301FBCD" w14:textId="77777777" w:rsidR="003E5FCF" w:rsidRDefault="00000000">
            <w:pPr>
              <w:keepNext/>
              <w:keepLines/>
              <w:spacing w:after="0" w:line="240" w:lineRule="auto"/>
              <w:jc w:val="right"/>
            </w:pPr>
            <w:r>
              <w:rPr>
                <w:sz w:val="18"/>
              </w:rPr>
              <w:t>0,00</w:t>
            </w:r>
          </w:p>
        </w:tc>
        <w:tc>
          <w:tcPr>
            <w:tcW w:w="1860" w:type="dxa"/>
            <w:tcMar>
              <w:top w:w="0" w:type="dxa"/>
              <w:bottom w:w="0" w:type="dxa"/>
            </w:tcMar>
            <w:vAlign w:val="center"/>
          </w:tcPr>
          <w:p w14:paraId="1E25A045" w14:textId="77777777" w:rsidR="003E5FCF" w:rsidRDefault="00000000">
            <w:pPr>
              <w:keepNext/>
              <w:keepLines/>
              <w:spacing w:after="0" w:line="240" w:lineRule="auto"/>
              <w:jc w:val="right"/>
            </w:pPr>
            <w:r>
              <w:rPr>
                <w:sz w:val="18"/>
              </w:rPr>
              <w:t>58.840,16</w:t>
            </w:r>
          </w:p>
        </w:tc>
        <w:tc>
          <w:tcPr>
            <w:tcW w:w="700" w:type="dxa"/>
            <w:tcMar>
              <w:top w:w="0" w:type="dxa"/>
              <w:bottom w:w="0" w:type="dxa"/>
            </w:tcMar>
            <w:vAlign w:val="center"/>
          </w:tcPr>
          <w:p w14:paraId="248244C5" w14:textId="77777777" w:rsidR="003E5FCF" w:rsidRDefault="00000000">
            <w:pPr>
              <w:keepNext/>
              <w:keepLines/>
              <w:spacing w:after="0" w:line="240" w:lineRule="auto"/>
              <w:jc w:val="right"/>
            </w:pPr>
            <w:r>
              <w:rPr>
                <w:sz w:val="18"/>
              </w:rPr>
              <w:t>-</w:t>
            </w:r>
          </w:p>
        </w:tc>
      </w:tr>
    </w:tbl>
    <w:p w14:paraId="526A58BE" w14:textId="77777777" w:rsidR="003E5FCF" w:rsidRDefault="003E5FCF">
      <w:pPr>
        <w:spacing w:after="0"/>
      </w:pPr>
    </w:p>
    <w:p w14:paraId="54DB4F48" w14:textId="77777777" w:rsidR="003E5FCF" w:rsidRDefault="00000000">
      <w:r>
        <w:t>Novi Pravilnik o proračunskom računovodstvu i računskom planu, koji se primjenjuje od 1.1.2025. godine,  čl. 120. i 121. uvodi knjiženje ispravka vrijednosti dugotrajne nefinancijske imovine preko osnovnog računa 91511 – Promjene u vrijednosti imovine što je vrtić i učinio.</w:t>
      </w:r>
    </w:p>
    <w:p w14:paraId="7C7D6A53" w14:textId="77777777" w:rsidR="003E5FCF" w:rsidRDefault="00000000">
      <w:r>
        <w:t>Dječji vrtić Slunj napravio je obračun ispravka vrijednosti pojedinačno za svaku imovinu, u pomoćnoj knjizi, na analitičkim evidencijama dugotrajne nefinancijske imovine. Temeljem pojedinačnog obračuna koji se evidentira na svakoj analitičkoj kartici imovine, sastavljen je zbirni pregled obračuna ispravka vrijednosti prema podskupinama, odjeljcima i osnovnim računima računskog plana u koji je svrstana pojedina imovina.</w:t>
      </w:r>
    </w:p>
    <w:p w14:paraId="7264E4F1" w14:textId="77777777" w:rsidR="003E5FCF" w:rsidRDefault="00000000">
      <w:r>
        <w:t>Zbirni iznos ispravka vrijednosti nefinancijske imovine za 2025. godinu iznosi 58.840,16 EUR od čega se:</w:t>
      </w:r>
    </w:p>
    <w:p w14:paraId="23AFD5E2" w14:textId="77777777" w:rsidR="003E5FCF" w:rsidRDefault="00000000">
      <w:pPr>
        <w:pStyle w:val="Odlomakpopisa"/>
        <w:numPr>
          <w:ilvl w:val="0"/>
          <w:numId w:val="1"/>
        </w:numPr>
      </w:pPr>
      <w:r>
        <w:t>39.045,69 EUR odnosi na ispravak vrijednosti građevinskog objekta,</w:t>
      </w:r>
    </w:p>
    <w:p w14:paraId="2BACFAF9" w14:textId="77777777" w:rsidR="003E5FCF" w:rsidRDefault="00000000">
      <w:pPr>
        <w:pStyle w:val="Odlomakpopisa"/>
        <w:numPr>
          <w:ilvl w:val="0"/>
          <w:numId w:val="1"/>
        </w:numPr>
      </w:pPr>
      <w:r>
        <w:t>19.736,40 EUR na ispravka vrijednosti postrojenja i opreme,</w:t>
      </w:r>
    </w:p>
    <w:p w14:paraId="2624DAF4" w14:textId="77777777" w:rsidR="003E5FCF" w:rsidRDefault="00000000">
      <w:pPr>
        <w:pStyle w:val="Odlomakpopisa"/>
        <w:numPr>
          <w:ilvl w:val="0"/>
          <w:numId w:val="1"/>
        </w:numPr>
      </w:pPr>
      <w:r>
        <w:t>58,07 EUR na ispravka vrijednosti nematerijalne proizvedene imovine.</w:t>
      </w:r>
    </w:p>
    <w:p w14:paraId="6EF09AD4" w14:textId="77777777" w:rsidR="003E5FCF" w:rsidRDefault="00000000">
      <w:r>
        <w:t>Ispravak vrijednosti je knjigovodstveno evidentiran s danom 31. prosinca 2025. godine radi iskazivanja realne vrijednosti dugotrajne imovine.</w:t>
      </w:r>
    </w:p>
    <w:p w14:paraId="1F70AF34" w14:textId="77777777" w:rsidR="003E5FCF" w:rsidRDefault="003E5FCF"/>
    <w:p w14:paraId="40FE1EDB" w14:textId="77777777" w:rsidR="003E5FCF"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5FCF" w14:paraId="20CA09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F27D8A"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C709FF"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D76703"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979CBB" w14:textId="77777777" w:rsidR="003E5FCF"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F648615" w14:textId="77777777" w:rsidR="003E5FCF"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E78866E" w14:textId="77777777" w:rsidR="003E5FCF" w:rsidRDefault="00000000">
            <w:pPr>
              <w:keepNext/>
              <w:keepLines/>
              <w:spacing w:after="0" w:line="240" w:lineRule="auto"/>
              <w:jc w:val="center"/>
            </w:pPr>
            <w:r>
              <w:rPr>
                <w:b/>
                <w:sz w:val="18"/>
              </w:rPr>
              <w:t>Indeks (%)</w:t>
            </w:r>
          </w:p>
        </w:tc>
      </w:tr>
      <w:tr w:rsidR="003E5FCF" w14:paraId="59D4C884" w14:textId="77777777">
        <w:tblPrEx>
          <w:tblCellMar>
            <w:top w:w="0" w:type="dxa"/>
            <w:bottom w:w="0" w:type="dxa"/>
          </w:tblCellMar>
        </w:tblPrEx>
        <w:trPr>
          <w:cantSplit/>
          <w:trHeight w:val="560"/>
        </w:trPr>
        <w:tc>
          <w:tcPr>
            <w:tcW w:w="700" w:type="dxa"/>
            <w:tcMar>
              <w:top w:w="0" w:type="dxa"/>
              <w:bottom w:w="0" w:type="dxa"/>
            </w:tcMar>
            <w:vAlign w:val="center"/>
          </w:tcPr>
          <w:p w14:paraId="01E0D723" w14:textId="77777777" w:rsidR="003E5FCF" w:rsidRDefault="003E5FCF">
            <w:pPr>
              <w:keepNext/>
              <w:keepLines/>
              <w:spacing w:after="0" w:line="240" w:lineRule="auto"/>
            </w:pPr>
          </w:p>
        </w:tc>
        <w:tc>
          <w:tcPr>
            <w:tcW w:w="3180" w:type="dxa"/>
            <w:tcMar>
              <w:top w:w="0" w:type="dxa"/>
              <w:bottom w:w="0" w:type="dxa"/>
            </w:tcMar>
            <w:vAlign w:val="center"/>
          </w:tcPr>
          <w:p w14:paraId="29AA052D" w14:textId="77777777" w:rsidR="003E5FCF"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7A95504F" w14:textId="77777777" w:rsidR="003E5FCF" w:rsidRDefault="00000000">
            <w:pPr>
              <w:keepNext/>
              <w:keepLines/>
              <w:spacing w:after="0" w:line="240" w:lineRule="auto"/>
            </w:pPr>
            <w:r>
              <w:rPr>
                <w:sz w:val="18"/>
              </w:rPr>
              <w:t>P018</w:t>
            </w:r>
          </w:p>
        </w:tc>
        <w:tc>
          <w:tcPr>
            <w:tcW w:w="1860" w:type="dxa"/>
            <w:tcMar>
              <w:top w:w="0" w:type="dxa"/>
              <w:bottom w:w="0" w:type="dxa"/>
            </w:tcMar>
            <w:vAlign w:val="center"/>
          </w:tcPr>
          <w:p w14:paraId="4D36EA0C" w14:textId="77777777" w:rsidR="003E5FCF" w:rsidRDefault="00000000">
            <w:pPr>
              <w:keepNext/>
              <w:keepLines/>
              <w:spacing w:after="0" w:line="240" w:lineRule="auto"/>
              <w:jc w:val="right"/>
            </w:pPr>
            <w:r>
              <w:rPr>
                <w:sz w:val="18"/>
              </w:rPr>
              <w:t>1.711.172,84</w:t>
            </w:r>
          </w:p>
        </w:tc>
        <w:tc>
          <w:tcPr>
            <w:tcW w:w="1860" w:type="dxa"/>
            <w:tcMar>
              <w:top w:w="0" w:type="dxa"/>
              <w:bottom w:w="0" w:type="dxa"/>
            </w:tcMar>
            <w:vAlign w:val="center"/>
          </w:tcPr>
          <w:p w14:paraId="4EBDB83C" w14:textId="77777777" w:rsidR="003E5FCF" w:rsidRDefault="00000000">
            <w:pPr>
              <w:keepNext/>
              <w:keepLines/>
              <w:spacing w:after="0" w:line="240" w:lineRule="auto"/>
              <w:jc w:val="right"/>
            </w:pPr>
            <w:r>
              <w:rPr>
                <w:sz w:val="18"/>
              </w:rPr>
              <w:t>0,00</w:t>
            </w:r>
          </w:p>
        </w:tc>
        <w:tc>
          <w:tcPr>
            <w:tcW w:w="700" w:type="dxa"/>
            <w:tcMar>
              <w:top w:w="0" w:type="dxa"/>
              <w:bottom w:w="0" w:type="dxa"/>
            </w:tcMar>
            <w:vAlign w:val="center"/>
          </w:tcPr>
          <w:p w14:paraId="5F51A286" w14:textId="77777777" w:rsidR="003E5FCF" w:rsidRDefault="00000000">
            <w:pPr>
              <w:keepNext/>
              <w:keepLines/>
              <w:spacing w:after="0" w:line="240" w:lineRule="auto"/>
              <w:jc w:val="right"/>
            </w:pPr>
            <w:r>
              <w:rPr>
                <w:sz w:val="18"/>
              </w:rPr>
              <w:t>0</w:t>
            </w:r>
          </w:p>
        </w:tc>
      </w:tr>
    </w:tbl>
    <w:p w14:paraId="531D67FD" w14:textId="77777777" w:rsidR="003E5FCF" w:rsidRDefault="003E5FCF">
      <w:pPr>
        <w:spacing w:after="0"/>
      </w:pPr>
    </w:p>
    <w:p w14:paraId="2A2B2E4D" w14:textId="77777777" w:rsidR="003E5FCF" w:rsidRDefault="00000000">
      <w:r>
        <w:t>Tijekom 2025. godine Dječji vrtić Slunj ostvario je promjene u obujmu imovine u ukupnom iznosu od 1.711.172,84 EUR. Iste nisu rezultat transakcija koje se iskazuju kao rashod.</w:t>
      </w:r>
    </w:p>
    <w:p w14:paraId="559C0E32" w14:textId="77777777" w:rsidR="003E5FCF" w:rsidRDefault="00000000">
      <w:r>
        <w:t>Do navedenih promjena došlo je zbog prijenosa imovine s osnivača Grada Slunja na Dječji vrtić Slunj.</w:t>
      </w:r>
    </w:p>
    <w:p w14:paraId="5ED98647" w14:textId="77777777" w:rsidR="003E5FCF" w:rsidRDefault="00000000">
      <w:r>
        <w:t xml:space="preserve">Prvi prijenos, u iznosu 61.470,86 EUR, evidentiran je u veljači 2025. godine. Odnosio se na uređenje dječjeg igrališta radi osiguranja sigurnog, funkcionalnog i poticajnog prostora za boravak djece na otvorenom. Uređenje je podrazumijevalo zemljane radove, postavljanje odgovarajućih podnih obloga, poput </w:t>
      </w:r>
      <w:proofErr w:type="spellStart"/>
      <w:r>
        <w:t>antistresnih</w:t>
      </w:r>
      <w:proofErr w:type="spellEnd"/>
      <w:r>
        <w:t xml:space="preserve"> sigurnosnih površina koje ublažavaju padove i smanjuju rizik od ozljeda, nabavu i ugradnju novih dječjih igrala te postavljanje zaštitne ograde.</w:t>
      </w:r>
    </w:p>
    <w:p w14:paraId="5A014422" w14:textId="77777777" w:rsidR="003E5FCF" w:rsidRDefault="00000000">
      <w:r>
        <w:t>Drugi prijenos, u iznosu 1.592.962,17 EUR, evidentiran je u ožujku 2025. godine. Odnosio se na prijenos imovine nakon realizacije projekta rekonstrukcije, nadogradnje i proširenja vrtića. Nositelj projekta bio je Grad Slunj koji je nakon završetka gradnje, temeljem odluke, prenio imovinu na vrtić. Vrtić je dobio tri nova dječja boravka, dizalicu topline, postrojenje mini sunčane elektrane.</w:t>
      </w:r>
    </w:p>
    <w:p w14:paraId="7D9FAD3B" w14:textId="77777777" w:rsidR="003E5FCF" w:rsidRDefault="00000000">
      <w:r>
        <w:t>Treći prijenos, u iznosu 51.317,31 EUR, evidentiran je u prosincu 2025. godine. Odnosi se na poboljšanje materijalnih uvjeta u vrtiću u smislu osiguravanja dodatne opreme i namještaja.</w:t>
      </w:r>
    </w:p>
    <w:p w14:paraId="71C5AB50" w14:textId="77777777" w:rsidR="003E5FCF" w:rsidRDefault="00000000">
      <w:r>
        <w:t xml:space="preserve">Četvrti prijenos, u iznosu 5.422,50 EUR, evidentira je također u prosincu 2025. godine. Odnosi se na nabavu i montažu </w:t>
      </w:r>
      <w:proofErr w:type="spellStart"/>
      <w:r>
        <w:t>bukobrana</w:t>
      </w:r>
      <w:proofErr w:type="spellEnd"/>
      <w:r>
        <w:t xml:space="preserve"> koji je vrtiću bio neophodan za smanjenje buke prilikom rada dizalice topline.</w:t>
      </w:r>
    </w:p>
    <w:p w14:paraId="474A1812" w14:textId="77777777" w:rsidR="003E5FCF" w:rsidRDefault="003E5FCF"/>
    <w:p w14:paraId="008A35B2" w14:textId="77777777" w:rsidR="003E5FCF" w:rsidRDefault="00000000">
      <w:pPr>
        <w:keepNext/>
        <w:spacing w:line="240" w:lineRule="auto"/>
        <w:jc w:val="center"/>
      </w:pPr>
      <w:r>
        <w:rPr>
          <w:b/>
          <w:sz w:val="28"/>
        </w:rPr>
        <w:t>Izvještaj o obvezama</w:t>
      </w:r>
    </w:p>
    <w:p w14:paraId="513AA842" w14:textId="77777777" w:rsidR="003E5FCF"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E5FCF" w14:paraId="4804EA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55C777"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D1FD38"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EC10C7"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4C8E69" w14:textId="77777777" w:rsidR="003E5FC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000568C" w14:textId="77777777" w:rsidR="003E5FCF" w:rsidRDefault="00000000">
            <w:pPr>
              <w:keepNext/>
              <w:keepLines/>
              <w:spacing w:after="0" w:line="240" w:lineRule="auto"/>
              <w:jc w:val="center"/>
            </w:pPr>
            <w:r>
              <w:rPr>
                <w:b/>
                <w:sz w:val="18"/>
              </w:rPr>
              <w:t>Indeks (%)</w:t>
            </w:r>
          </w:p>
        </w:tc>
      </w:tr>
      <w:tr w:rsidR="003E5FCF" w14:paraId="6AAF49C1" w14:textId="77777777">
        <w:tblPrEx>
          <w:tblCellMar>
            <w:top w:w="0" w:type="dxa"/>
            <w:bottom w:w="0" w:type="dxa"/>
          </w:tblCellMar>
        </w:tblPrEx>
        <w:trPr>
          <w:cantSplit/>
          <w:trHeight w:val="560"/>
        </w:trPr>
        <w:tc>
          <w:tcPr>
            <w:tcW w:w="700" w:type="dxa"/>
            <w:tcMar>
              <w:top w:w="0" w:type="dxa"/>
              <w:bottom w:w="0" w:type="dxa"/>
            </w:tcMar>
            <w:vAlign w:val="center"/>
          </w:tcPr>
          <w:p w14:paraId="7FB1F37F" w14:textId="77777777" w:rsidR="003E5FCF" w:rsidRDefault="003E5FCF">
            <w:pPr>
              <w:keepNext/>
              <w:keepLines/>
              <w:spacing w:after="0" w:line="240" w:lineRule="auto"/>
            </w:pPr>
          </w:p>
        </w:tc>
        <w:tc>
          <w:tcPr>
            <w:tcW w:w="3180" w:type="dxa"/>
            <w:tcMar>
              <w:top w:w="0" w:type="dxa"/>
              <w:bottom w:w="0" w:type="dxa"/>
            </w:tcMar>
            <w:vAlign w:val="center"/>
          </w:tcPr>
          <w:p w14:paraId="68D75495" w14:textId="77777777" w:rsidR="003E5FCF"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27D4C54D" w14:textId="77777777" w:rsidR="003E5FCF" w:rsidRDefault="00000000">
            <w:pPr>
              <w:keepNext/>
              <w:keepLines/>
              <w:spacing w:after="0" w:line="240" w:lineRule="auto"/>
            </w:pPr>
            <w:r>
              <w:rPr>
                <w:sz w:val="18"/>
              </w:rPr>
              <w:t>V006</w:t>
            </w:r>
          </w:p>
        </w:tc>
        <w:tc>
          <w:tcPr>
            <w:tcW w:w="1860" w:type="dxa"/>
            <w:tcMar>
              <w:top w:w="0" w:type="dxa"/>
              <w:bottom w:w="0" w:type="dxa"/>
            </w:tcMar>
            <w:vAlign w:val="center"/>
          </w:tcPr>
          <w:p w14:paraId="28A1E767" w14:textId="77777777" w:rsidR="003E5FCF" w:rsidRDefault="00000000">
            <w:pPr>
              <w:keepNext/>
              <w:keepLines/>
              <w:spacing w:after="0" w:line="240" w:lineRule="auto"/>
              <w:jc w:val="right"/>
            </w:pPr>
            <w:r>
              <w:rPr>
                <w:sz w:val="18"/>
              </w:rPr>
              <w:t>92.284,78</w:t>
            </w:r>
          </w:p>
        </w:tc>
        <w:tc>
          <w:tcPr>
            <w:tcW w:w="700" w:type="dxa"/>
            <w:tcMar>
              <w:top w:w="0" w:type="dxa"/>
              <w:bottom w:w="0" w:type="dxa"/>
            </w:tcMar>
            <w:vAlign w:val="center"/>
          </w:tcPr>
          <w:p w14:paraId="66371862" w14:textId="77777777" w:rsidR="003E5FCF" w:rsidRDefault="00000000">
            <w:pPr>
              <w:keepNext/>
              <w:keepLines/>
              <w:spacing w:after="0" w:line="240" w:lineRule="auto"/>
              <w:jc w:val="right"/>
            </w:pPr>
            <w:r>
              <w:rPr>
                <w:sz w:val="18"/>
              </w:rPr>
              <w:t>-</w:t>
            </w:r>
          </w:p>
        </w:tc>
      </w:tr>
    </w:tbl>
    <w:p w14:paraId="61AD6F5E" w14:textId="77777777" w:rsidR="003E5FCF" w:rsidRDefault="003E5FCF">
      <w:pPr>
        <w:spacing w:after="0"/>
      </w:pPr>
    </w:p>
    <w:p w14:paraId="55964576" w14:textId="77777777" w:rsidR="003E5FCF" w:rsidRDefault="00000000">
      <w:r>
        <w:t xml:space="preserve">Ukupno stanje obveza na dan 31. prosinca 2025. godine iznosi 92.284,78 EUR. Od navedenog iznosa, 88.855,72 EUR odnosi se na obveze vezane uz plaću za prosinac 2025. godine, koja je isplaćena u siječnju 2026. godine i naknadu za prijevoz na posao i s posla radnika vrtića, dok se 3.429,06 EUR odnosi na obveze prema dobavljačima za robu i usluge, s </w:t>
      </w:r>
      <w:r>
        <w:lastRenderedPageBreak/>
        <w:t>dospijećem u siječnju 2026. godine. Sve evidentirane obveze na dan 31. prosinca 2025. godine su nedospjele obveze.</w:t>
      </w:r>
    </w:p>
    <w:p w14:paraId="00F39152" w14:textId="77777777" w:rsidR="003E5FCF" w:rsidRDefault="003E5FCF"/>
    <w:p w14:paraId="1B1A94EA" w14:textId="77777777" w:rsidR="003E5FCF"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E5FCF" w14:paraId="52C9F7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CF893B"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D098ED"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87A141"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41F656" w14:textId="77777777" w:rsidR="003E5FC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193EBCC" w14:textId="77777777" w:rsidR="003E5FCF" w:rsidRDefault="00000000">
            <w:pPr>
              <w:keepNext/>
              <w:keepLines/>
              <w:spacing w:after="0" w:line="240" w:lineRule="auto"/>
              <w:jc w:val="center"/>
            </w:pPr>
            <w:r>
              <w:rPr>
                <w:b/>
                <w:sz w:val="18"/>
              </w:rPr>
              <w:t>Indeks (%)</w:t>
            </w:r>
          </w:p>
        </w:tc>
      </w:tr>
      <w:tr w:rsidR="003E5FCF" w14:paraId="79FE3351" w14:textId="77777777">
        <w:tblPrEx>
          <w:tblCellMar>
            <w:top w:w="0" w:type="dxa"/>
            <w:bottom w:w="0" w:type="dxa"/>
          </w:tblCellMar>
        </w:tblPrEx>
        <w:trPr>
          <w:cantSplit/>
          <w:trHeight w:val="560"/>
        </w:trPr>
        <w:tc>
          <w:tcPr>
            <w:tcW w:w="700" w:type="dxa"/>
            <w:tcMar>
              <w:top w:w="0" w:type="dxa"/>
              <w:bottom w:w="0" w:type="dxa"/>
            </w:tcMar>
            <w:vAlign w:val="center"/>
          </w:tcPr>
          <w:p w14:paraId="2938506E" w14:textId="77777777" w:rsidR="003E5FCF" w:rsidRDefault="003E5FCF">
            <w:pPr>
              <w:keepNext/>
              <w:keepLines/>
              <w:spacing w:after="0" w:line="240" w:lineRule="auto"/>
            </w:pPr>
          </w:p>
        </w:tc>
        <w:tc>
          <w:tcPr>
            <w:tcW w:w="3180" w:type="dxa"/>
            <w:tcMar>
              <w:top w:w="0" w:type="dxa"/>
              <w:bottom w:w="0" w:type="dxa"/>
            </w:tcMar>
            <w:vAlign w:val="center"/>
          </w:tcPr>
          <w:p w14:paraId="70725AEF" w14:textId="77777777" w:rsidR="003E5FCF"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E176DE5" w14:textId="77777777" w:rsidR="003E5FCF" w:rsidRDefault="00000000">
            <w:pPr>
              <w:keepNext/>
              <w:keepLines/>
              <w:spacing w:after="0" w:line="240" w:lineRule="auto"/>
            </w:pPr>
            <w:r>
              <w:rPr>
                <w:sz w:val="18"/>
              </w:rPr>
              <w:t>V007</w:t>
            </w:r>
          </w:p>
        </w:tc>
        <w:tc>
          <w:tcPr>
            <w:tcW w:w="1860" w:type="dxa"/>
            <w:tcMar>
              <w:top w:w="0" w:type="dxa"/>
              <w:bottom w:w="0" w:type="dxa"/>
            </w:tcMar>
            <w:vAlign w:val="center"/>
          </w:tcPr>
          <w:p w14:paraId="13DFD9C3" w14:textId="77777777" w:rsidR="003E5FCF" w:rsidRDefault="00000000">
            <w:pPr>
              <w:keepNext/>
              <w:keepLines/>
              <w:spacing w:after="0" w:line="240" w:lineRule="auto"/>
              <w:jc w:val="right"/>
            </w:pPr>
            <w:r>
              <w:rPr>
                <w:sz w:val="18"/>
              </w:rPr>
              <w:t>0,00</w:t>
            </w:r>
          </w:p>
        </w:tc>
        <w:tc>
          <w:tcPr>
            <w:tcW w:w="700" w:type="dxa"/>
            <w:tcMar>
              <w:top w:w="0" w:type="dxa"/>
              <w:bottom w:w="0" w:type="dxa"/>
            </w:tcMar>
            <w:vAlign w:val="center"/>
          </w:tcPr>
          <w:p w14:paraId="0DB1D327" w14:textId="77777777" w:rsidR="003E5FCF" w:rsidRDefault="00000000">
            <w:pPr>
              <w:keepNext/>
              <w:keepLines/>
              <w:spacing w:after="0" w:line="240" w:lineRule="auto"/>
              <w:jc w:val="right"/>
            </w:pPr>
            <w:r>
              <w:rPr>
                <w:sz w:val="18"/>
              </w:rPr>
              <w:t>-</w:t>
            </w:r>
          </w:p>
        </w:tc>
      </w:tr>
    </w:tbl>
    <w:p w14:paraId="28039473" w14:textId="77777777" w:rsidR="003E5FCF" w:rsidRDefault="003E5FCF">
      <w:pPr>
        <w:spacing w:after="0"/>
      </w:pPr>
    </w:p>
    <w:p w14:paraId="2C62DA84" w14:textId="77777777" w:rsidR="003E5FCF" w:rsidRDefault="00000000">
      <w:r>
        <w:t>Dječji vrtić Slunj na kraju 2025. godine nema dospjelih obveza.</w:t>
      </w:r>
    </w:p>
    <w:p w14:paraId="6765D284" w14:textId="77777777" w:rsidR="003E5FCF" w:rsidRDefault="003E5FCF"/>
    <w:p w14:paraId="484A069E" w14:textId="77777777" w:rsidR="003E5FCF"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E5FCF" w14:paraId="2E1E96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ECAE1E" w14:textId="77777777" w:rsidR="003E5FC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E0A31E" w14:textId="77777777" w:rsidR="003E5FC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DE9727" w14:textId="77777777" w:rsidR="003E5FC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59AA88" w14:textId="77777777" w:rsidR="003E5FC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0EFE485" w14:textId="77777777" w:rsidR="003E5FCF" w:rsidRDefault="00000000">
            <w:pPr>
              <w:keepNext/>
              <w:keepLines/>
              <w:spacing w:after="0" w:line="240" w:lineRule="auto"/>
              <w:jc w:val="center"/>
            </w:pPr>
            <w:r>
              <w:rPr>
                <w:b/>
                <w:sz w:val="18"/>
              </w:rPr>
              <w:t>Indeks (%)</w:t>
            </w:r>
          </w:p>
        </w:tc>
      </w:tr>
      <w:tr w:rsidR="003E5FCF" w14:paraId="11117BF4" w14:textId="77777777">
        <w:tblPrEx>
          <w:tblCellMar>
            <w:top w:w="0" w:type="dxa"/>
            <w:bottom w:w="0" w:type="dxa"/>
          </w:tblCellMar>
        </w:tblPrEx>
        <w:trPr>
          <w:cantSplit/>
          <w:trHeight w:val="560"/>
        </w:trPr>
        <w:tc>
          <w:tcPr>
            <w:tcW w:w="700" w:type="dxa"/>
            <w:tcMar>
              <w:top w:w="0" w:type="dxa"/>
              <w:bottom w:w="0" w:type="dxa"/>
            </w:tcMar>
            <w:vAlign w:val="center"/>
          </w:tcPr>
          <w:p w14:paraId="6676666B" w14:textId="77777777" w:rsidR="003E5FCF" w:rsidRDefault="00000000">
            <w:pPr>
              <w:keepNext/>
              <w:keepLines/>
              <w:spacing w:after="0" w:line="240" w:lineRule="auto"/>
            </w:pPr>
            <w:r>
              <w:rPr>
                <w:sz w:val="18"/>
              </w:rPr>
              <w:t>24</w:t>
            </w:r>
          </w:p>
        </w:tc>
        <w:tc>
          <w:tcPr>
            <w:tcW w:w="3180" w:type="dxa"/>
            <w:tcMar>
              <w:top w:w="0" w:type="dxa"/>
              <w:bottom w:w="0" w:type="dxa"/>
            </w:tcMar>
            <w:vAlign w:val="center"/>
          </w:tcPr>
          <w:p w14:paraId="674402EA" w14:textId="77777777" w:rsidR="003E5FCF"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3730C85D" w14:textId="77777777" w:rsidR="003E5FCF" w:rsidRDefault="00000000">
            <w:pPr>
              <w:keepNext/>
              <w:keepLines/>
              <w:spacing w:after="0" w:line="240" w:lineRule="auto"/>
            </w:pPr>
            <w:r>
              <w:rPr>
                <w:sz w:val="18"/>
              </w:rPr>
              <w:t>ND24</w:t>
            </w:r>
          </w:p>
        </w:tc>
        <w:tc>
          <w:tcPr>
            <w:tcW w:w="1860" w:type="dxa"/>
            <w:tcMar>
              <w:top w:w="0" w:type="dxa"/>
              <w:bottom w:w="0" w:type="dxa"/>
            </w:tcMar>
            <w:vAlign w:val="center"/>
          </w:tcPr>
          <w:p w14:paraId="65836D34" w14:textId="77777777" w:rsidR="003E5FCF" w:rsidRDefault="00000000">
            <w:pPr>
              <w:keepNext/>
              <w:keepLines/>
              <w:spacing w:after="0" w:line="240" w:lineRule="auto"/>
              <w:jc w:val="right"/>
            </w:pPr>
            <w:r>
              <w:rPr>
                <w:sz w:val="18"/>
              </w:rPr>
              <w:t>4,36</w:t>
            </w:r>
          </w:p>
        </w:tc>
        <w:tc>
          <w:tcPr>
            <w:tcW w:w="700" w:type="dxa"/>
            <w:tcMar>
              <w:top w:w="0" w:type="dxa"/>
              <w:bottom w:w="0" w:type="dxa"/>
            </w:tcMar>
            <w:vAlign w:val="center"/>
          </w:tcPr>
          <w:p w14:paraId="7E01406C" w14:textId="77777777" w:rsidR="003E5FCF" w:rsidRDefault="00000000">
            <w:pPr>
              <w:keepNext/>
              <w:keepLines/>
              <w:spacing w:after="0" w:line="240" w:lineRule="auto"/>
              <w:jc w:val="right"/>
            </w:pPr>
            <w:r>
              <w:rPr>
                <w:sz w:val="18"/>
              </w:rPr>
              <w:t>-</w:t>
            </w:r>
          </w:p>
        </w:tc>
      </w:tr>
    </w:tbl>
    <w:p w14:paraId="66CCF7E9" w14:textId="77777777" w:rsidR="003E5FCF" w:rsidRDefault="003E5FCF">
      <w:pPr>
        <w:spacing w:after="0"/>
      </w:pPr>
    </w:p>
    <w:p w14:paraId="604F8F4B" w14:textId="77777777" w:rsidR="003E5FCF" w:rsidRDefault="00000000">
      <w:r>
        <w:t>Iznos se odnosi na ratu za mobilni uređaj.</w:t>
      </w:r>
    </w:p>
    <w:p w14:paraId="67390E6E" w14:textId="77777777" w:rsidR="003E5FCF" w:rsidRDefault="003E5FCF"/>
    <w:sectPr w:rsidR="003E5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35B98"/>
    <w:multiLevelType w:val="hybridMultilevel"/>
    <w:tmpl w:val="1F521018"/>
    <w:name w:val="disc"/>
    <w:lvl w:ilvl="0" w:tplc="BC2A1D4C">
      <w:start w:val="1"/>
      <w:numFmt w:val="bullet"/>
      <w:lvlText w:val="•"/>
      <w:lvlJc w:val="left"/>
      <w:pPr>
        <w:ind w:left="720" w:hanging="360"/>
      </w:pPr>
    </w:lvl>
    <w:lvl w:ilvl="1" w:tplc="473E746E">
      <w:start w:val="1"/>
      <w:numFmt w:val="bullet"/>
      <w:lvlText w:val="•"/>
      <w:lvlJc w:val="left"/>
      <w:pPr>
        <w:ind w:left="1440" w:hanging="360"/>
      </w:pPr>
    </w:lvl>
    <w:lvl w:ilvl="2" w:tplc="316A1084">
      <w:start w:val="1"/>
      <w:numFmt w:val="bullet"/>
      <w:lvlText w:val="•"/>
      <w:lvlJc w:val="left"/>
      <w:pPr>
        <w:ind w:left="2160" w:hanging="360"/>
      </w:pPr>
    </w:lvl>
    <w:lvl w:ilvl="3" w:tplc="FAE237C2">
      <w:start w:val="1"/>
      <w:numFmt w:val="bullet"/>
      <w:lvlText w:val="•"/>
      <w:lvlJc w:val="left"/>
      <w:pPr>
        <w:ind w:left="2880" w:hanging="360"/>
      </w:pPr>
    </w:lvl>
    <w:lvl w:ilvl="4" w:tplc="7E6C77F8">
      <w:start w:val="1"/>
      <w:numFmt w:val="bullet"/>
      <w:lvlText w:val="•"/>
      <w:lvlJc w:val="left"/>
      <w:pPr>
        <w:ind w:left="3600" w:hanging="360"/>
      </w:pPr>
    </w:lvl>
    <w:lvl w:ilvl="5" w:tplc="F6A6DF3A">
      <w:start w:val="1"/>
      <w:numFmt w:val="bullet"/>
      <w:lvlText w:val="•"/>
      <w:lvlJc w:val="left"/>
      <w:pPr>
        <w:ind w:left="4320" w:hanging="360"/>
      </w:pPr>
    </w:lvl>
    <w:lvl w:ilvl="6" w:tplc="33B866EA">
      <w:start w:val="1"/>
      <w:numFmt w:val="bullet"/>
      <w:lvlText w:val="•"/>
      <w:lvlJc w:val="left"/>
      <w:pPr>
        <w:ind w:left="5040" w:hanging="360"/>
      </w:pPr>
    </w:lvl>
    <w:lvl w:ilvl="7" w:tplc="81562B68">
      <w:start w:val="1"/>
      <w:numFmt w:val="bullet"/>
      <w:lvlText w:val="•"/>
      <w:lvlJc w:val="left"/>
      <w:pPr>
        <w:ind w:left="5760" w:hanging="360"/>
      </w:pPr>
    </w:lvl>
    <w:lvl w:ilvl="8" w:tplc="9F68C632">
      <w:start w:val="1"/>
      <w:numFmt w:val="bullet"/>
      <w:lvlText w:val="•"/>
      <w:lvlJc w:val="left"/>
      <w:pPr>
        <w:ind w:left="6480" w:hanging="360"/>
      </w:pPr>
    </w:lvl>
  </w:abstractNum>
  <w:num w:numId="1" w16cid:durableId="9035619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CF"/>
    <w:rsid w:val="003E5FCF"/>
    <w:rsid w:val="009D7A34"/>
    <w:rsid w:val="00FB21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3036"/>
  <w15:docId w15:val="{5835B330-6E69-4768-9264-15F97F32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4343</Words>
  <Characters>24761</Characters>
  <Application>Microsoft Office Word</Application>
  <DocSecurity>0</DocSecurity>
  <Lines>206</Lines>
  <Paragraphs>58</Paragraphs>
  <ScaleCrop>false</ScaleCrop>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MAJA HOLJEVAC</cp:lastModifiedBy>
  <cp:revision>2</cp:revision>
  <dcterms:created xsi:type="dcterms:W3CDTF">2026-01-30T13:06:00Z</dcterms:created>
  <dcterms:modified xsi:type="dcterms:W3CDTF">2026-01-30T13:06:00Z</dcterms:modified>
</cp:coreProperties>
</file>